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B3B18" w14:textId="1AD665E9" w:rsidR="00B1674E" w:rsidRDefault="00B1674E" w:rsidP="00B1674E">
      <w:pPr>
        <w:spacing w:after="0" w:line="240" w:lineRule="auto"/>
        <w:jc w:val="center"/>
        <w:rPr>
          <w:rFonts w:ascii="Old English Text MT" w:hAnsi="Old English Text MT"/>
          <w:b/>
          <w:bCs/>
          <w:sz w:val="60"/>
          <w:szCs w:val="60"/>
          <w:lang w:eastAsia="ja-JP"/>
        </w:rPr>
      </w:pPr>
      <w:r>
        <w:rPr>
          <w:rFonts w:ascii="Old English Text MT" w:hAnsi="Old English Text MT"/>
          <w:b/>
          <w:bCs/>
          <w:sz w:val="60"/>
          <w:szCs w:val="60"/>
          <w:lang w:eastAsia="ja-JP"/>
        </w:rPr>
        <w:t>The United States Court of Appeals</w:t>
      </w:r>
    </w:p>
    <w:p w14:paraId="2796BFEB" w14:textId="77777777" w:rsidR="00B1674E" w:rsidRDefault="00B1674E" w:rsidP="00B1674E">
      <w:pPr>
        <w:spacing w:after="0" w:line="240" w:lineRule="auto"/>
        <w:jc w:val="center"/>
        <w:rPr>
          <w:caps/>
          <w:smallCaps/>
          <w:kern w:val="16"/>
          <w:sz w:val="40"/>
          <w:szCs w:val="40"/>
          <w:lang w:eastAsia="ja-JP"/>
        </w:rPr>
      </w:pPr>
      <w:r>
        <w:rPr>
          <w:smallCaps/>
          <w:sz w:val="40"/>
          <w:szCs w:val="40"/>
          <w:lang w:eastAsia="ja-JP"/>
        </w:rPr>
        <w:t>For The Third Circuit</w:t>
      </w:r>
    </w:p>
    <w:p w14:paraId="5D4D56B0" w14:textId="77777777" w:rsidR="00B1674E" w:rsidRDefault="00B1674E" w:rsidP="00B1674E">
      <w:pPr>
        <w:spacing w:after="0"/>
        <w:rPr>
          <w:caps/>
          <w:spacing w:val="24"/>
          <w:kern w:val="16"/>
          <w:sz w:val="28"/>
          <w:szCs w:val="28"/>
          <w:lang w:eastAsia="ja-JP"/>
        </w:rPr>
      </w:pPr>
    </w:p>
    <w:p w14:paraId="7B03803D" w14:textId="4DC4261F" w:rsidR="00B1674E" w:rsidRDefault="00B1674E" w:rsidP="00B1674E">
      <w:pPr>
        <w:pBdr>
          <w:top w:val="single" w:sz="6" w:space="1" w:color="auto"/>
          <w:bottom w:val="single" w:sz="6" w:space="1" w:color="auto"/>
        </w:pBdr>
        <w:spacing w:after="0"/>
        <w:jc w:val="center"/>
        <w:rPr>
          <w:sz w:val="28"/>
          <w:szCs w:val="28"/>
        </w:rPr>
      </w:pPr>
      <w:r>
        <w:rPr>
          <w:sz w:val="28"/>
          <w:szCs w:val="28"/>
        </w:rPr>
        <w:t xml:space="preserve">No. </w:t>
      </w:r>
      <w:r w:rsidR="00966AA6">
        <w:rPr>
          <w:sz w:val="28"/>
          <w:szCs w:val="28"/>
        </w:rPr>
        <w:t>24-1594</w:t>
      </w:r>
    </w:p>
    <w:p w14:paraId="505BB05A" w14:textId="77777777" w:rsidR="00B1674E" w:rsidRDefault="00B1674E" w:rsidP="00B1674E">
      <w:pPr>
        <w:spacing w:after="0"/>
        <w:rPr>
          <w:sz w:val="28"/>
          <w:szCs w:val="28"/>
          <w:u w:val="single"/>
        </w:rPr>
      </w:pPr>
    </w:p>
    <w:p w14:paraId="688940D6" w14:textId="02936749" w:rsidR="00B1674E" w:rsidRDefault="00966AA6" w:rsidP="00B1674E">
      <w:pPr>
        <w:spacing w:after="0"/>
        <w:jc w:val="center"/>
        <w:rPr>
          <w:sz w:val="28"/>
          <w:szCs w:val="28"/>
        </w:rPr>
      </w:pPr>
      <w:r>
        <w:rPr>
          <w:sz w:val="28"/>
          <w:szCs w:val="28"/>
        </w:rPr>
        <w:t>ANDY KIM, et al.</w:t>
      </w:r>
      <w:r w:rsidR="00B1674E">
        <w:rPr>
          <w:sz w:val="28"/>
          <w:szCs w:val="28"/>
        </w:rPr>
        <w:t>,</w:t>
      </w:r>
    </w:p>
    <w:p w14:paraId="74895144" w14:textId="77777777" w:rsidR="00B1674E" w:rsidRDefault="00B1674E" w:rsidP="00B1674E">
      <w:pPr>
        <w:spacing w:after="0"/>
        <w:jc w:val="center"/>
        <w:rPr>
          <w:sz w:val="28"/>
          <w:szCs w:val="28"/>
        </w:rPr>
      </w:pPr>
    </w:p>
    <w:p w14:paraId="52FFA3C0" w14:textId="23A83C6E" w:rsidR="00B1674E" w:rsidRDefault="00B1674E" w:rsidP="00B1674E">
      <w:pPr>
        <w:spacing w:after="0"/>
        <w:ind w:left="5040" w:firstLine="720"/>
        <w:rPr>
          <w:i/>
          <w:iCs/>
          <w:sz w:val="28"/>
          <w:szCs w:val="28"/>
        </w:rPr>
      </w:pPr>
      <w:r>
        <w:rPr>
          <w:i/>
          <w:iCs/>
          <w:sz w:val="28"/>
          <w:szCs w:val="28"/>
        </w:rPr>
        <w:t>Plaintiff</w:t>
      </w:r>
      <w:r w:rsidR="00966AA6">
        <w:rPr>
          <w:i/>
          <w:iCs/>
          <w:sz w:val="28"/>
          <w:szCs w:val="28"/>
        </w:rPr>
        <w:t>s</w:t>
      </w:r>
      <w:r>
        <w:rPr>
          <w:i/>
          <w:iCs/>
          <w:sz w:val="28"/>
          <w:szCs w:val="28"/>
        </w:rPr>
        <w:t>/Appell</w:t>
      </w:r>
      <w:r w:rsidR="00966AA6">
        <w:rPr>
          <w:i/>
          <w:iCs/>
          <w:sz w:val="28"/>
          <w:szCs w:val="28"/>
        </w:rPr>
        <w:t>ees</w:t>
      </w:r>
      <w:r>
        <w:rPr>
          <w:i/>
          <w:iCs/>
          <w:sz w:val="28"/>
          <w:szCs w:val="28"/>
        </w:rPr>
        <w:t>,</w:t>
      </w:r>
    </w:p>
    <w:p w14:paraId="3439D4F1" w14:textId="77777777" w:rsidR="00B1674E" w:rsidRDefault="00B1674E" w:rsidP="00B1674E">
      <w:pPr>
        <w:spacing w:after="0"/>
        <w:jc w:val="center"/>
        <w:rPr>
          <w:sz w:val="28"/>
          <w:szCs w:val="28"/>
        </w:rPr>
      </w:pPr>
    </w:p>
    <w:p w14:paraId="29AAF360" w14:textId="77777777" w:rsidR="00B1674E" w:rsidRDefault="00B1674E" w:rsidP="00B1674E">
      <w:pPr>
        <w:spacing w:after="0"/>
        <w:jc w:val="center"/>
        <w:rPr>
          <w:sz w:val="28"/>
          <w:szCs w:val="28"/>
        </w:rPr>
      </w:pPr>
      <w:r>
        <w:rPr>
          <w:sz w:val="28"/>
          <w:szCs w:val="28"/>
        </w:rPr>
        <w:t>v.</w:t>
      </w:r>
    </w:p>
    <w:p w14:paraId="1E476AD7" w14:textId="77777777" w:rsidR="00B1674E" w:rsidRDefault="00B1674E" w:rsidP="00B1674E">
      <w:pPr>
        <w:spacing w:after="0"/>
        <w:jc w:val="center"/>
        <w:rPr>
          <w:sz w:val="28"/>
          <w:szCs w:val="28"/>
        </w:rPr>
      </w:pPr>
    </w:p>
    <w:p w14:paraId="34DA8017" w14:textId="58247AFB" w:rsidR="00B1674E" w:rsidRDefault="00A948F1" w:rsidP="00B1674E">
      <w:pPr>
        <w:spacing w:after="0"/>
        <w:jc w:val="center"/>
        <w:rPr>
          <w:sz w:val="28"/>
          <w:szCs w:val="28"/>
        </w:rPr>
      </w:pPr>
      <w:r>
        <w:rPr>
          <w:sz w:val="28"/>
          <w:szCs w:val="28"/>
        </w:rPr>
        <w:t>CHRISTINE GIORDANO HANLON</w:t>
      </w:r>
      <w:r w:rsidR="00B1674E">
        <w:rPr>
          <w:sz w:val="28"/>
          <w:szCs w:val="28"/>
        </w:rPr>
        <w:t>,</w:t>
      </w:r>
      <w:r>
        <w:rPr>
          <w:sz w:val="28"/>
          <w:szCs w:val="28"/>
        </w:rPr>
        <w:br/>
        <w:t xml:space="preserve">in her </w:t>
      </w:r>
      <w:r w:rsidR="00B1674E">
        <w:rPr>
          <w:sz w:val="28"/>
          <w:szCs w:val="28"/>
        </w:rPr>
        <w:t>capacity</w:t>
      </w:r>
      <w:r>
        <w:rPr>
          <w:sz w:val="28"/>
          <w:szCs w:val="28"/>
        </w:rPr>
        <w:t xml:space="preserve"> </w:t>
      </w:r>
      <w:r w:rsidR="00B1674E">
        <w:rPr>
          <w:sz w:val="28"/>
          <w:szCs w:val="28"/>
        </w:rPr>
        <w:t xml:space="preserve">as </w:t>
      </w:r>
      <w:r>
        <w:rPr>
          <w:sz w:val="28"/>
          <w:szCs w:val="28"/>
        </w:rPr>
        <w:t>Monmouth County Clerk, et al</w:t>
      </w:r>
      <w:r w:rsidR="00B1674E">
        <w:rPr>
          <w:sz w:val="28"/>
          <w:szCs w:val="28"/>
        </w:rPr>
        <w:t>,</w:t>
      </w:r>
    </w:p>
    <w:p w14:paraId="3D70BEDC" w14:textId="77777777" w:rsidR="00B1674E" w:rsidRDefault="00B1674E" w:rsidP="00B1674E">
      <w:pPr>
        <w:spacing w:after="0"/>
        <w:jc w:val="center"/>
        <w:rPr>
          <w:sz w:val="28"/>
          <w:szCs w:val="28"/>
        </w:rPr>
      </w:pPr>
    </w:p>
    <w:p w14:paraId="2956C2DC" w14:textId="460E18EE" w:rsidR="00B1674E" w:rsidRDefault="00B1674E" w:rsidP="00B1674E">
      <w:pPr>
        <w:spacing w:after="0"/>
        <w:ind w:left="5040" w:firstLine="720"/>
        <w:rPr>
          <w:i/>
          <w:iCs/>
          <w:sz w:val="28"/>
          <w:szCs w:val="28"/>
        </w:rPr>
      </w:pPr>
      <w:r>
        <w:rPr>
          <w:i/>
          <w:iCs/>
          <w:sz w:val="28"/>
          <w:szCs w:val="28"/>
        </w:rPr>
        <w:t>Defendants/</w:t>
      </w:r>
      <w:r w:rsidR="00966AA6">
        <w:rPr>
          <w:i/>
          <w:iCs/>
          <w:sz w:val="28"/>
          <w:szCs w:val="28"/>
        </w:rPr>
        <w:t>Appellants</w:t>
      </w:r>
      <w:r>
        <w:rPr>
          <w:i/>
          <w:iCs/>
          <w:sz w:val="28"/>
          <w:szCs w:val="28"/>
        </w:rPr>
        <w:t>.</w:t>
      </w:r>
    </w:p>
    <w:p w14:paraId="007E2999" w14:textId="77777777" w:rsidR="00B1674E" w:rsidRDefault="00B1674E" w:rsidP="00B1674E">
      <w:pPr>
        <w:pBdr>
          <w:bottom w:val="single" w:sz="6" w:space="1" w:color="auto"/>
        </w:pBdr>
        <w:spacing w:line="240" w:lineRule="auto"/>
        <w:contextualSpacing/>
        <w:jc w:val="center"/>
        <w:rPr>
          <w:sz w:val="28"/>
          <w:szCs w:val="28"/>
        </w:rPr>
      </w:pPr>
    </w:p>
    <w:p w14:paraId="030E847D" w14:textId="77777777" w:rsidR="00B1674E" w:rsidRDefault="00B1674E" w:rsidP="00B1674E">
      <w:pPr>
        <w:spacing w:line="240" w:lineRule="auto"/>
        <w:contextualSpacing/>
        <w:jc w:val="center"/>
        <w:rPr>
          <w:sz w:val="28"/>
          <w:szCs w:val="28"/>
        </w:rPr>
      </w:pPr>
    </w:p>
    <w:p w14:paraId="5EFD61D6" w14:textId="3C766E01" w:rsidR="00B1674E" w:rsidRDefault="00B1674E" w:rsidP="00B1674E">
      <w:pPr>
        <w:spacing w:line="240" w:lineRule="auto"/>
        <w:contextualSpacing/>
        <w:jc w:val="center"/>
        <w:rPr>
          <w:sz w:val="28"/>
          <w:szCs w:val="28"/>
        </w:rPr>
      </w:pPr>
      <w:r>
        <w:rPr>
          <w:sz w:val="28"/>
          <w:szCs w:val="28"/>
        </w:rPr>
        <w:t>On Appeal from the United States</w:t>
      </w:r>
      <w:r w:rsidR="00BA0102">
        <w:rPr>
          <w:sz w:val="28"/>
          <w:szCs w:val="28"/>
        </w:rPr>
        <w:t xml:space="preserve"> </w:t>
      </w:r>
      <w:r>
        <w:rPr>
          <w:sz w:val="28"/>
          <w:szCs w:val="28"/>
        </w:rPr>
        <w:t>District Court for the District of New Jersey</w:t>
      </w:r>
    </w:p>
    <w:p w14:paraId="5BF10A77" w14:textId="0F4E4E75" w:rsidR="004751CC" w:rsidRDefault="004751CC" w:rsidP="00B1674E">
      <w:pPr>
        <w:spacing w:line="240" w:lineRule="auto"/>
        <w:contextualSpacing/>
        <w:jc w:val="center"/>
        <w:rPr>
          <w:sz w:val="28"/>
          <w:szCs w:val="28"/>
        </w:rPr>
      </w:pPr>
      <w:r>
        <w:rPr>
          <w:sz w:val="28"/>
          <w:szCs w:val="28"/>
        </w:rPr>
        <w:t>No. 3:24-cv-01098</w:t>
      </w:r>
    </w:p>
    <w:p w14:paraId="399F3D72" w14:textId="77777777" w:rsidR="00B1674E" w:rsidRDefault="00B1674E" w:rsidP="00B1674E">
      <w:pPr>
        <w:spacing w:line="240" w:lineRule="auto"/>
        <w:contextualSpacing/>
        <w:jc w:val="center"/>
        <w:rPr>
          <w:sz w:val="28"/>
          <w:szCs w:val="28"/>
        </w:rPr>
      </w:pPr>
    </w:p>
    <w:p w14:paraId="2D0522D2" w14:textId="05F6CE79" w:rsidR="00B1674E" w:rsidRDefault="00B1674E" w:rsidP="00B1674E">
      <w:pPr>
        <w:spacing w:line="240" w:lineRule="auto"/>
        <w:contextualSpacing/>
        <w:jc w:val="center"/>
        <w:rPr>
          <w:sz w:val="28"/>
          <w:szCs w:val="28"/>
        </w:rPr>
      </w:pPr>
      <w:r>
        <w:rPr>
          <w:sz w:val="28"/>
          <w:szCs w:val="28"/>
        </w:rPr>
        <w:t xml:space="preserve">Honorable </w:t>
      </w:r>
      <w:r w:rsidR="004751CC">
        <w:rPr>
          <w:sz w:val="28"/>
          <w:szCs w:val="28"/>
        </w:rPr>
        <w:t>Zahid N. Quraishi</w:t>
      </w:r>
      <w:r>
        <w:rPr>
          <w:sz w:val="28"/>
          <w:szCs w:val="28"/>
        </w:rPr>
        <w:t>, United States District Judge</w:t>
      </w:r>
    </w:p>
    <w:p w14:paraId="3915950D" w14:textId="77777777" w:rsidR="00B1674E" w:rsidRDefault="00B1674E" w:rsidP="00B1674E">
      <w:pPr>
        <w:spacing w:line="240" w:lineRule="auto"/>
        <w:contextualSpacing/>
        <w:jc w:val="center"/>
        <w:rPr>
          <w:sz w:val="28"/>
          <w:szCs w:val="28"/>
        </w:rPr>
      </w:pPr>
    </w:p>
    <w:p w14:paraId="0C03E77F" w14:textId="203CADF4" w:rsidR="00B1674E" w:rsidRDefault="00B1674E" w:rsidP="00B1674E">
      <w:pPr>
        <w:pBdr>
          <w:top w:val="single" w:sz="6" w:space="1" w:color="auto"/>
          <w:bottom w:val="single" w:sz="6" w:space="1" w:color="auto"/>
        </w:pBdr>
        <w:spacing w:after="0"/>
        <w:jc w:val="center"/>
        <w:rPr>
          <w:b/>
          <w:bCs/>
          <w:sz w:val="28"/>
          <w:szCs w:val="28"/>
        </w:rPr>
      </w:pPr>
      <w:r>
        <w:rPr>
          <w:b/>
          <w:bCs/>
          <w:sz w:val="28"/>
          <w:szCs w:val="28"/>
        </w:rPr>
        <w:t xml:space="preserve">BRIEF OF </w:t>
      </w:r>
      <w:r w:rsidR="004751CC">
        <w:rPr>
          <w:b/>
          <w:bCs/>
          <w:sz w:val="28"/>
          <w:szCs w:val="28"/>
        </w:rPr>
        <w:t>AMICUS CURIAE IN OPPOSITION TO THE</w:t>
      </w:r>
      <w:r w:rsidR="004751CC">
        <w:rPr>
          <w:b/>
          <w:bCs/>
          <w:sz w:val="28"/>
          <w:szCs w:val="28"/>
        </w:rPr>
        <w:br/>
        <w:t>EMERGENT MOTION FOR STAY PENDING APPEAL</w:t>
      </w:r>
    </w:p>
    <w:p w14:paraId="0CD4A977" w14:textId="77777777" w:rsidR="00B1674E" w:rsidRDefault="00B1674E" w:rsidP="00B1674E">
      <w:pPr>
        <w:spacing w:after="0"/>
        <w:rPr>
          <w:sz w:val="28"/>
          <w:szCs w:val="28"/>
          <w:u w:val="single"/>
        </w:rPr>
      </w:pPr>
    </w:p>
    <w:p w14:paraId="1D263960" w14:textId="77777777" w:rsidR="004F1895" w:rsidRDefault="00B1674E" w:rsidP="00B1674E">
      <w:pPr>
        <w:spacing w:after="0"/>
        <w:ind w:left="4320"/>
        <w:jc w:val="left"/>
        <w:rPr>
          <w:rFonts w:eastAsia="Times New Roman" w:cs="Open Sans"/>
          <w:b/>
          <w:bCs/>
          <w:sz w:val="28"/>
          <w:szCs w:val="28"/>
        </w:rPr>
      </w:pPr>
      <w:r>
        <w:rPr>
          <w:rFonts w:eastAsia="Times New Roman" w:cs="Open Sans"/>
          <w:b/>
          <w:bCs/>
          <w:sz w:val="28"/>
          <w:szCs w:val="28"/>
        </w:rPr>
        <w:t xml:space="preserve">JARDIM MEISNER </w:t>
      </w:r>
      <w:r w:rsidR="004F1895">
        <w:rPr>
          <w:rFonts w:eastAsia="Times New Roman" w:cs="Open Sans"/>
          <w:b/>
          <w:bCs/>
          <w:sz w:val="28"/>
          <w:szCs w:val="28"/>
        </w:rPr>
        <w:t>SALMON</w:t>
      </w:r>
    </w:p>
    <w:p w14:paraId="5575E1CB" w14:textId="3162094B" w:rsidR="00B1674E" w:rsidRDefault="004F1895" w:rsidP="00B1674E">
      <w:pPr>
        <w:spacing w:after="0"/>
        <w:ind w:left="4320"/>
        <w:jc w:val="left"/>
        <w:rPr>
          <w:rFonts w:eastAsia="Times New Roman" w:cs="Open Sans"/>
          <w:b/>
          <w:sz w:val="28"/>
          <w:szCs w:val="28"/>
        </w:rPr>
      </w:pPr>
      <w:r>
        <w:rPr>
          <w:rFonts w:eastAsia="Times New Roman" w:cs="Open Sans"/>
          <w:b/>
          <w:bCs/>
          <w:sz w:val="28"/>
          <w:szCs w:val="28"/>
        </w:rPr>
        <w:t xml:space="preserve">SPRAGUE </w:t>
      </w:r>
      <w:r w:rsidR="00B1674E">
        <w:rPr>
          <w:rFonts w:eastAsia="Times New Roman" w:cs="Open Sans"/>
          <w:b/>
          <w:bCs/>
          <w:sz w:val="28"/>
          <w:szCs w:val="28"/>
        </w:rPr>
        <w:t>&amp; SUSSER, P.C.</w:t>
      </w:r>
    </w:p>
    <w:p w14:paraId="2663FEFE" w14:textId="77777777" w:rsidR="00B1674E" w:rsidRDefault="00B1674E" w:rsidP="00B1674E">
      <w:pPr>
        <w:spacing w:after="0"/>
        <w:ind w:left="4320"/>
        <w:jc w:val="left"/>
        <w:rPr>
          <w:rFonts w:eastAsia="Times New Roman" w:cs="Open Sans"/>
          <w:bCs/>
          <w:sz w:val="28"/>
          <w:szCs w:val="28"/>
        </w:rPr>
      </w:pPr>
      <w:r>
        <w:rPr>
          <w:rFonts w:eastAsia="Times New Roman" w:cs="Open Sans"/>
          <w:bCs/>
          <w:sz w:val="28"/>
          <w:szCs w:val="28"/>
        </w:rPr>
        <w:t>Scott D. Salmon</w:t>
      </w:r>
    </w:p>
    <w:p w14:paraId="653A0C5F" w14:textId="77777777" w:rsidR="00B1674E" w:rsidRDefault="00B1674E" w:rsidP="00B1674E">
      <w:pPr>
        <w:spacing w:after="0"/>
        <w:ind w:left="4320"/>
        <w:jc w:val="left"/>
        <w:rPr>
          <w:rFonts w:eastAsia="Times New Roman" w:cs="Open Sans"/>
          <w:bCs/>
          <w:sz w:val="28"/>
          <w:szCs w:val="28"/>
        </w:rPr>
      </w:pPr>
      <w:r>
        <w:rPr>
          <w:rFonts w:eastAsia="Times New Roman" w:cs="Open Sans"/>
          <w:bCs/>
          <w:sz w:val="28"/>
          <w:szCs w:val="28"/>
        </w:rPr>
        <w:t>30B Vreeland Road, Suite 100</w:t>
      </w:r>
    </w:p>
    <w:p w14:paraId="7EF977E4" w14:textId="77777777" w:rsidR="00B1674E" w:rsidRDefault="00B1674E" w:rsidP="00B1674E">
      <w:pPr>
        <w:spacing w:after="0"/>
        <w:ind w:left="4320"/>
        <w:jc w:val="left"/>
        <w:rPr>
          <w:rFonts w:eastAsia="Times New Roman" w:cs="Open Sans"/>
          <w:bCs/>
          <w:sz w:val="28"/>
          <w:szCs w:val="28"/>
        </w:rPr>
      </w:pPr>
      <w:r>
        <w:rPr>
          <w:rFonts w:eastAsia="Times New Roman" w:cs="Open Sans"/>
          <w:bCs/>
          <w:sz w:val="28"/>
          <w:szCs w:val="28"/>
        </w:rPr>
        <w:t>Florham Park, NJ 07932</w:t>
      </w:r>
    </w:p>
    <w:p w14:paraId="43796ECC" w14:textId="77777777" w:rsidR="00B1674E" w:rsidRDefault="00B1674E" w:rsidP="00B1674E">
      <w:pPr>
        <w:spacing w:after="0"/>
        <w:ind w:left="4320"/>
        <w:jc w:val="left"/>
        <w:rPr>
          <w:rFonts w:eastAsia="Times New Roman" w:cs="Open Sans"/>
          <w:bCs/>
          <w:sz w:val="28"/>
          <w:szCs w:val="28"/>
        </w:rPr>
      </w:pPr>
      <w:r>
        <w:rPr>
          <w:rFonts w:eastAsia="Times New Roman" w:cs="Open Sans"/>
          <w:bCs/>
          <w:sz w:val="28"/>
          <w:szCs w:val="28"/>
        </w:rPr>
        <w:t>T: (973) 845-7640</w:t>
      </w:r>
    </w:p>
    <w:p w14:paraId="249C6373" w14:textId="77777777" w:rsidR="00B1674E" w:rsidRDefault="00B1674E" w:rsidP="00B1674E">
      <w:pPr>
        <w:spacing w:after="0"/>
        <w:ind w:left="4320"/>
        <w:jc w:val="left"/>
        <w:rPr>
          <w:rFonts w:eastAsia="Times New Roman" w:cs="Open Sans"/>
          <w:bCs/>
          <w:sz w:val="28"/>
          <w:szCs w:val="28"/>
        </w:rPr>
      </w:pPr>
      <w:r>
        <w:rPr>
          <w:rFonts w:eastAsia="Times New Roman" w:cs="Open Sans"/>
          <w:bCs/>
          <w:sz w:val="28"/>
          <w:szCs w:val="28"/>
        </w:rPr>
        <w:t>F: (973) 845-7645</w:t>
      </w:r>
    </w:p>
    <w:p w14:paraId="1E9FF65D" w14:textId="77777777" w:rsidR="00B1674E" w:rsidRDefault="00B1674E" w:rsidP="00B1674E">
      <w:pPr>
        <w:spacing w:after="0"/>
        <w:ind w:left="4320"/>
        <w:jc w:val="left"/>
        <w:rPr>
          <w:rFonts w:eastAsia="Times New Roman" w:cs="Open Sans"/>
          <w:bCs/>
          <w:sz w:val="28"/>
          <w:szCs w:val="28"/>
        </w:rPr>
      </w:pPr>
      <w:r>
        <w:rPr>
          <w:rFonts w:eastAsia="Times New Roman" w:cs="Open Sans"/>
          <w:bCs/>
          <w:sz w:val="28"/>
          <w:szCs w:val="28"/>
        </w:rPr>
        <w:t>ssalmon@jmslawyers.com</w:t>
      </w:r>
    </w:p>
    <w:p w14:paraId="79BB217A" w14:textId="77777777" w:rsidR="00B1674E" w:rsidRDefault="00B1674E" w:rsidP="00B1674E">
      <w:pPr>
        <w:spacing w:after="0"/>
        <w:ind w:left="4320"/>
        <w:jc w:val="left"/>
        <w:rPr>
          <w:i/>
          <w:iCs/>
          <w:kern w:val="16"/>
          <w:sz w:val="28"/>
          <w:szCs w:val="28"/>
        </w:rPr>
      </w:pPr>
    </w:p>
    <w:p w14:paraId="6E4F23C1" w14:textId="6F126F1B" w:rsidR="00AE6F22" w:rsidRDefault="00B1674E" w:rsidP="00547A8D">
      <w:pPr>
        <w:spacing w:after="160" w:line="259" w:lineRule="auto"/>
        <w:ind w:left="4320"/>
        <w:jc w:val="left"/>
        <w:rPr>
          <w:b/>
          <w:bCs/>
          <w:sz w:val="28"/>
          <w:szCs w:val="28"/>
        </w:rPr>
      </w:pPr>
      <w:r>
        <w:rPr>
          <w:i/>
          <w:iCs/>
          <w:kern w:val="16"/>
          <w:sz w:val="28"/>
          <w:szCs w:val="28"/>
          <w14:ligatures w14:val="none"/>
        </w:rPr>
        <w:t xml:space="preserve">Counsel for </w:t>
      </w:r>
      <w:r w:rsidR="00547A8D" w:rsidRPr="00514FE3">
        <w:rPr>
          <w:rFonts w:eastAsia="Aptos" w:cs="Times New Roman"/>
          <w:sz w:val="28"/>
          <w:szCs w:val="28"/>
        </w:rPr>
        <w:t>Amicus Curiae</w:t>
      </w:r>
      <w:r w:rsidR="00547A8D">
        <w:rPr>
          <w:rFonts w:eastAsia="Aptos" w:cs="Times New Roman"/>
          <w:i/>
          <w:iCs/>
          <w:sz w:val="28"/>
          <w:szCs w:val="28"/>
        </w:rPr>
        <w:t>,</w:t>
      </w:r>
      <w:r w:rsidR="00547A8D" w:rsidRPr="009A6F0C">
        <w:rPr>
          <w:rFonts w:eastAsia="Aptos" w:cs="Times New Roman"/>
          <w:i/>
          <w:iCs/>
          <w:sz w:val="28"/>
          <w:szCs w:val="28"/>
        </w:rPr>
        <w:t xml:space="preserve"> Ravi Bhalla</w:t>
      </w:r>
      <w:r w:rsidR="00547A8D">
        <w:rPr>
          <w:rFonts w:eastAsia="Aptos" w:cs="Times New Roman"/>
          <w:i/>
          <w:iCs/>
          <w:sz w:val="28"/>
          <w:szCs w:val="28"/>
        </w:rPr>
        <w:t>,</w:t>
      </w:r>
      <w:r w:rsidR="00547A8D">
        <w:rPr>
          <w:rFonts w:eastAsia="Aptos" w:cs="Times New Roman"/>
          <w:i/>
          <w:iCs/>
          <w:sz w:val="28"/>
          <w:szCs w:val="28"/>
        </w:rPr>
        <w:br/>
      </w:r>
      <w:r w:rsidR="00547A8D" w:rsidRPr="009A6F0C">
        <w:rPr>
          <w:rFonts w:eastAsia="Aptos" w:cs="Times New Roman"/>
          <w:i/>
          <w:iCs/>
          <w:sz w:val="28"/>
          <w:szCs w:val="28"/>
        </w:rPr>
        <w:t>Jerry Speziale, and Patricia Campos-Medina</w:t>
      </w:r>
      <w:r w:rsidR="00547A8D">
        <w:rPr>
          <w:kern w:val="16"/>
          <w:sz w:val="28"/>
          <w:szCs w:val="28"/>
          <w14:ligatures w14:val="none"/>
        </w:rPr>
        <w:t xml:space="preserve"> </w:t>
      </w:r>
      <w:r>
        <w:rPr>
          <w:kern w:val="16"/>
          <w:sz w:val="28"/>
          <w:szCs w:val="28"/>
          <w14:ligatures w14:val="none"/>
        </w:rPr>
        <w:br w:type="page"/>
      </w:r>
    </w:p>
    <w:bookmarkStart w:id="0" w:name="_Toc162953741" w:displacedByCustomXml="next"/>
    <w:sdt>
      <w:sdtPr>
        <w:rPr>
          <w:b w:val="0"/>
          <w:bCs w:val="0"/>
          <w:sz w:val="24"/>
          <w:szCs w:val="22"/>
        </w:rPr>
        <w:id w:val="424693822"/>
        <w:docPartObj>
          <w:docPartGallery w:val="Table of Contents"/>
          <w:docPartUnique/>
        </w:docPartObj>
      </w:sdtPr>
      <w:sdtEndPr>
        <w:rPr>
          <w:noProof/>
        </w:rPr>
      </w:sdtEndPr>
      <w:sdtContent>
        <w:p w14:paraId="7FA9E42C" w14:textId="439961F1" w:rsidR="006373C9" w:rsidRPr="001478C1" w:rsidRDefault="006373C9" w:rsidP="00BA0102">
          <w:pPr>
            <w:pStyle w:val="Heading1"/>
            <w:spacing w:after="280"/>
          </w:pPr>
          <w:r w:rsidRPr="001478C1">
            <w:t>TABLE OF CONTENTS</w:t>
          </w:r>
          <w:bookmarkEnd w:id="0"/>
        </w:p>
        <w:p w14:paraId="14D44D01" w14:textId="025C275D" w:rsidR="003C7034" w:rsidRDefault="00742AB9">
          <w:pPr>
            <w:pStyle w:val="TOC1"/>
            <w:rPr>
              <w:rFonts w:asciiTheme="minorHAnsi" w:eastAsiaTheme="minorEastAsia" w:hAnsiTheme="minorHAnsi"/>
              <w:noProof/>
              <w:sz w:val="24"/>
              <w:szCs w:val="24"/>
            </w:rPr>
          </w:pPr>
          <w:r>
            <w:rPr>
              <w:szCs w:val="28"/>
            </w:rPr>
            <w:fldChar w:fldCharType="begin"/>
          </w:r>
          <w:r>
            <w:rPr>
              <w:szCs w:val="28"/>
            </w:rPr>
            <w:instrText xml:space="preserve"> TOC \o "1-3" \h \z \u </w:instrText>
          </w:r>
          <w:r>
            <w:rPr>
              <w:szCs w:val="28"/>
            </w:rPr>
            <w:fldChar w:fldCharType="separate"/>
          </w:r>
          <w:hyperlink w:anchor="_Toc162953741" w:history="1">
            <w:r w:rsidR="003C7034" w:rsidRPr="00A64FB8">
              <w:rPr>
                <w:rStyle w:val="Hyperlink"/>
                <w:noProof/>
              </w:rPr>
              <w:t>TABLE OF CONTENTS</w:t>
            </w:r>
            <w:r w:rsidR="003C7034">
              <w:rPr>
                <w:noProof/>
                <w:webHidden/>
              </w:rPr>
              <w:tab/>
            </w:r>
            <w:r w:rsidR="003C7034">
              <w:rPr>
                <w:noProof/>
                <w:webHidden/>
              </w:rPr>
              <w:fldChar w:fldCharType="begin"/>
            </w:r>
            <w:r w:rsidR="003C7034">
              <w:rPr>
                <w:noProof/>
                <w:webHidden/>
              </w:rPr>
              <w:instrText xml:space="preserve"> PAGEREF _Toc162953741 \h </w:instrText>
            </w:r>
            <w:r w:rsidR="003C7034">
              <w:rPr>
                <w:noProof/>
                <w:webHidden/>
              </w:rPr>
            </w:r>
            <w:r w:rsidR="003C7034">
              <w:rPr>
                <w:noProof/>
                <w:webHidden/>
              </w:rPr>
              <w:fldChar w:fldCharType="separate"/>
            </w:r>
            <w:r w:rsidR="003C7034">
              <w:rPr>
                <w:noProof/>
                <w:webHidden/>
              </w:rPr>
              <w:t>ii</w:t>
            </w:r>
            <w:r w:rsidR="003C7034">
              <w:rPr>
                <w:noProof/>
                <w:webHidden/>
              </w:rPr>
              <w:fldChar w:fldCharType="end"/>
            </w:r>
          </w:hyperlink>
        </w:p>
        <w:p w14:paraId="2F9AC9D9" w14:textId="3AE31DC4" w:rsidR="003C7034" w:rsidRDefault="003C7034">
          <w:pPr>
            <w:pStyle w:val="TOC1"/>
            <w:rPr>
              <w:rFonts w:asciiTheme="minorHAnsi" w:eastAsiaTheme="minorEastAsia" w:hAnsiTheme="minorHAnsi"/>
              <w:noProof/>
              <w:sz w:val="24"/>
              <w:szCs w:val="24"/>
            </w:rPr>
          </w:pPr>
          <w:hyperlink w:anchor="_Toc162953742" w:history="1">
            <w:r w:rsidRPr="00A64FB8">
              <w:rPr>
                <w:rStyle w:val="Hyperlink"/>
                <w:noProof/>
              </w:rPr>
              <w:t>TABLE OF AUTHORITIES</w:t>
            </w:r>
            <w:r>
              <w:rPr>
                <w:noProof/>
                <w:webHidden/>
              </w:rPr>
              <w:tab/>
            </w:r>
            <w:r>
              <w:rPr>
                <w:noProof/>
                <w:webHidden/>
              </w:rPr>
              <w:fldChar w:fldCharType="begin"/>
            </w:r>
            <w:r>
              <w:rPr>
                <w:noProof/>
                <w:webHidden/>
              </w:rPr>
              <w:instrText xml:space="preserve"> PAGEREF _Toc162953742 \h </w:instrText>
            </w:r>
            <w:r>
              <w:rPr>
                <w:noProof/>
                <w:webHidden/>
              </w:rPr>
            </w:r>
            <w:r>
              <w:rPr>
                <w:noProof/>
                <w:webHidden/>
              </w:rPr>
              <w:fldChar w:fldCharType="separate"/>
            </w:r>
            <w:r>
              <w:rPr>
                <w:noProof/>
                <w:webHidden/>
              </w:rPr>
              <w:t>iii</w:t>
            </w:r>
            <w:r>
              <w:rPr>
                <w:noProof/>
                <w:webHidden/>
              </w:rPr>
              <w:fldChar w:fldCharType="end"/>
            </w:r>
          </w:hyperlink>
        </w:p>
        <w:p w14:paraId="603E634B" w14:textId="6F3D2E19" w:rsidR="003C7034" w:rsidRDefault="003C7034">
          <w:pPr>
            <w:pStyle w:val="TOC1"/>
            <w:rPr>
              <w:rFonts w:asciiTheme="minorHAnsi" w:eastAsiaTheme="minorEastAsia" w:hAnsiTheme="minorHAnsi"/>
              <w:noProof/>
              <w:sz w:val="24"/>
              <w:szCs w:val="24"/>
            </w:rPr>
          </w:pPr>
          <w:hyperlink w:anchor="_Toc162953743" w:history="1">
            <w:r w:rsidRPr="00A64FB8">
              <w:rPr>
                <w:rStyle w:val="Hyperlink"/>
                <w:noProof/>
              </w:rPr>
              <w:t>INTEREST OF AMICI CURIAE</w:t>
            </w:r>
            <w:r>
              <w:rPr>
                <w:noProof/>
                <w:webHidden/>
              </w:rPr>
              <w:tab/>
            </w:r>
            <w:r>
              <w:rPr>
                <w:noProof/>
                <w:webHidden/>
              </w:rPr>
              <w:fldChar w:fldCharType="begin"/>
            </w:r>
            <w:r>
              <w:rPr>
                <w:noProof/>
                <w:webHidden/>
              </w:rPr>
              <w:instrText xml:space="preserve"> PAGEREF _Toc162953743 \h </w:instrText>
            </w:r>
            <w:r>
              <w:rPr>
                <w:noProof/>
                <w:webHidden/>
              </w:rPr>
            </w:r>
            <w:r>
              <w:rPr>
                <w:noProof/>
                <w:webHidden/>
              </w:rPr>
              <w:fldChar w:fldCharType="separate"/>
            </w:r>
            <w:r>
              <w:rPr>
                <w:noProof/>
                <w:webHidden/>
              </w:rPr>
              <w:t>4</w:t>
            </w:r>
            <w:r>
              <w:rPr>
                <w:noProof/>
                <w:webHidden/>
              </w:rPr>
              <w:fldChar w:fldCharType="end"/>
            </w:r>
          </w:hyperlink>
        </w:p>
        <w:p w14:paraId="54742FCD" w14:textId="743CB8D8" w:rsidR="003C7034" w:rsidRDefault="003C7034">
          <w:pPr>
            <w:pStyle w:val="TOC1"/>
            <w:rPr>
              <w:rFonts w:asciiTheme="minorHAnsi" w:eastAsiaTheme="minorEastAsia" w:hAnsiTheme="minorHAnsi"/>
              <w:noProof/>
              <w:sz w:val="24"/>
              <w:szCs w:val="24"/>
            </w:rPr>
          </w:pPr>
          <w:hyperlink w:anchor="_Toc162953744" w:history="1">
            <w:r w:rsidRPr="00A64FB8">
              <w:rPr>
                <w:rStyle w:val="Hyperlink"/>
                <w:noProof/>
              </w:rPr>
              <w:t>PRELIMINARY STATEMENT</w:t>
            </w:r>
            <w:r>
              <w:rPr>
                <w:noProof/>
                <w:webHidden/>
              </w:rPr>
              <w:tab/>
            </w:r>
            <w:r>
              <w:rPr>
                <w:noProof/>
                <w:webHidden/>
              </w:rPr>
              <w:fldChar w:fldCharType="begin"/>
            </w:r>
            <w:r>
              <w:rPr>
                <w:noProof/>
                <w:webHidden/>
              </w:rPr>
              <w:instrText xml:space="preserve"> PAGEREF _Toc162953744 \h </w:instrText>
            </w:r>
            <w:r>
              <w:rPr>
                <w:noProof/>
                <w:webHidden/>
              </w:rPr>
            </w:r>
            <w:r>
              <w:rPr>
                <w:noProof/>
                <w:webHidden/>
              </w:rPr>
              <w:fldChar w:fldCharType="separate"/>
            </w:r>
            <w:r>
              <w:rPr>
                <w:noProof/>
                <w:webHidden/>
              </w:rPr>
              <w:t>6</w:t>
            </w:r>
            <w:r>
              <w:rPr>
                <w:noProof/>
                <w:webHidden/>
              </w:rPr>
              <w:fldChar w:fldCharType="end"/>
            </w:r>
          </w:hyperlink>
        </w:p>
        <w:p w14:paraId="085AB979" w14:textId="5D777D61" w:rsidR="003C7034" w:rsidRDefault="003C7034">
          <w:pPr>
            <w:pStyle w:val="TOC1"/>
            <w:rPr>
              <w:rFonts w:asciiTheme="minorHAnsi" w:eastAsiaTheme="minorEastAsia" w:hAnsiTheme="minorHAnsi"/>
              <w:noProof/>
              <w:sz w:val="24"/>
              <w:szCs w:val="24"/>
            </w:rPr>
          </w:pPr>
          <w:hyperlink w:anchor="_Toc162953745" w:history="1">
            <w:r w:rsidRPr="00A64FB8">
              <w:rPr>
                <w:rStyle w:val="Hyperlink"/>
                <w:noProof/>
              </w:rPr>
              <w:t>ARGUMENT</w:t>
            </w:r>
            <w:r>
              <w:rPr>
                <w:noProof/>
                <w:webHidden/>
              </w:rPr>
              <w:tab/>
            </w:r>
            <w:r>
              <w:rPr>
                <w:noProof/>
                <w:webHidden/>
              </w:rPr>
              <w:fldChar w:fldCharType="begin"/>
            </w:r>
            <w:r>
              <w:rPr>
                <w:noProof/>
                <w:webHidden/>
              </w:rPr>
              <w:instrText xml:space="preserve"> PAGEREF _Toc162953745 \h </w:instrText>
            </w:r>
            <w:r>
              <w:rPr>
                <w:noProof/>
                <w:webHidden/>
              </w:rPr>
            </w:r>
            <w:r>
              <w:rPr>
                <w:noProof/>
                <w:webHidden/>
              </w:rPr>
              <w:fldChar w:fldCharType="separate"/>
            </w:r>
            <w:r>
              <w:rPr>
                <w:noProof/>
                <w:webHidden/>
              </w:rPr>
              <w:t>7</w:t>
            </w:r>
            <w:r>
              <w:rPr>
                <w:noProof/>
                <w:webHidden/>
              </w:rPr>
              <w:fldChar w:fldCharType="end"/>
            </w:r>
          </w:hyperlink>
        </w:p>
        <w:p w14:paraId="1B89FCF3" w14:textId="30820587" w:rsidR="003C7034" w:rsidRDefault="003C7034">
          <w:pPr>
            <w:pStyle w:val="TOC2"/>
            <w:tabs>
              <w:tab w:val="right" w:leader="dot" w:pos="9350"/>
            </w:tabs>
            <w:rPr>
              <w:rFonts w:asciiTheme="minorHAnsi" w:eastAsiaTheme="minorEastAsia" w:hAnsiTheme="minorHAnsi"/>
              <w:caps w:val="0"/>
              <w:noProof/>
              <w:sz w:val="24"/>
              <w:szCs w:val="24"/>
            </w:rPr>
          </w:pPr>
          <w:hyperlink w:anchor="_Toc162953746" w:history="1">
            <w:r w:rsidRPr="00A64FB8">
              <w:rPr>
                <w:rStyle w:val="Hyperlink"/>
                <w:noProof/>
              </w:rPr>
              <w:t>I.</w:t>
            </w:r>
            <w:r>
              <w:rPr>
                <w:rFonts w:asciiTheme="minorHAnsi" w:eastAsiaTheme="minorEastAsia" w:hAnsiTheme="minorHAnsi"/>
                <w:caps w:val="0"/>
                <w:noProof/>
                <w:sz w:val="24"/>
                <w:szCs w:val="24"/>
              </w:rPr>
              <w:tab/>
            </w:r>
            <w:r w:rsidRPr="00A64FB8">
              <w:rPr>
                <w:rStyle w:val="Hyperlink"/>
                <w:noProof/>
              </w:rPr>
              <w:t>Standard of Review</w:t>
            </w:r>
            <w:r>
              <w:rPr>
                <w:noProof/>
                <w:webHidden/>
              </w:rPr>
              <w:tab/>
            </w:r>
            <w:r>
              <w:rPr>
                <w:noProof/>
                <w:webHidden/>
              </w:rPr>
              <w:fldChar w:fldCharType="begin"/>
            </w:r>
            <w:r>
              <w:rPr>
                <w:noProof/>
                <w:webHidden/>
              </w:rPr>
              <w:instrText xml:space="preserve"> PAGEREF _Toc162953746 \h </w:instrText>
            </w:r>
            <w:r>
              <w:rPr>
                <w:noProof/>
                <w:webHidden/>
              </w:rPr>
            </w:r>
            <w:r>
              <w:rPr>
                <w:noProof/>
                <w:webHidden/>
              </w:rPr>
              <w:fldChar w:fldCharType="separate"/>
            </w:r>
            <w:r>
              <w:rPr>
                <w:noProof/>
                <w:webHidden/>
              </w:rPr>
              <w:t>7</w:t>
            </w:r>
            <w:r>
              <w:rPr>
                <w:noProof/>
                <w:webHidden/>
              </w:rPr>
              <w:fldChar w:fldCharType="end"/>
            </w:r>
          </w:hyperlink>
        </w:p>
        <w:p w14:paraId="17B9AD47" w14:textId="76BECCF2" w:rsidR="003C7034" w:rsidRDefault="003C7034">
          <w:pPr>
            <w:pStyle w:val="TOC2"/>
            <w:tabs>
              <w:tab w:val="right" w:leader="dot" w:pos="9350"/>
            </w:tabs>
            <w:rPr>
              <w:rFonts w:asciiTheme="minorHAnsi" w:eastAsiaTheme="minorEastAsia" w:hAnsiTheme="minorHAnsi"/>
              <w:caps w:val="0"/>
              <w:noProof/>
              <w:sz w:val="24"/>
              <w:szCs w:val="24"/>
            </w:rPr>
          </w:pPr>
          <w:hyperlink w:anchor="_Toc162953747" w:history="1">
            <w:r w:rsidRPr="00A64FB8">
              <w:rPr>
                <w:rStyle w:val="Hyperlink"/>
                <w:noProof/>
              </w:rPr>
              <w:t>II.</w:t>
            </w:r>
            <w:r>
              <w:rPr>
                <w:rFonts w:asciiTheme="minorHAnsi" w:eastAsiaTheme="minorEastAsia" w:hAnsiTheme="minorHAnsi"/>
                <w:caps w:val="0"/>
                <w:noProof/>
                <w:sz w:val="24"/>
                <w:szCs w:val="24"/>
              </w:rPr>
              <w:tab/>
            </w:r>
            <w:r w:rsidRPr="00A64FB8">
              <w:rPr>
                <w:rStyle w:val="Hyperlink"/>
                <w:noProof/>
              </w:rPr>
              <w:t>Movants Cannot Show Any Harm from the Preliminary Injunction</w:t>
            </w:r>
            <w:r>
              <w:rPr>
                <w:noProof/>
                <w:webHidden/>
              </w:rPr>
              <w:tab/>
            </w:r>
            <w:r>
              <w:rPr>
                <w:noProof/>
                <w:webHidden/>
              </w:rPr>
              <w:fldChar w:fldCharType="begin"/>
            </w:r>
            <w:r>
              <w:rPr>
                <w:noProof/>
                <w:webHidden/>
              </w:rPr>
              <w:instrText xml:space="preserve"> PAGEREF _Toc162953747 \h </w:instrText>
            </w:r>
            <w:r>
              <w:rPr>
                <w:noProof/>
                <w:webHidden/>
              </w:rPr>
            </w:r>
            <w:r>
              <w:rPr>
                <w:noProof/>
                <w:webHidden/>
              </w:rPr>
              <w:fldChar w:fldCharType="separate"/>
            </w:r>
            <w:r>
              <w:rPr>
                <w:noProof/>
                <w:webHidden/>
              </w:rPr>
              <w:t>8</w:t>
            </w:r>
            <w:r>
              <w:rPr>
                <w:noProof/>
                <w:webHidden/>
              </w:rPr>
              <w:fldChar w:fldCharType="end"/>
            </w:r>
          </w:hyperlink>
        </w:p>
        <w:p w14:paraId="49393CB5" w14:textId="2F72CB75" w:rsidR="003C7034" w:rsidRDefault="003C7034">
          <w:pPr>
            <w:pStyle w:val="TOC2"/>
            <w:tabs>
              <w:tab w:val="right" w:leader="dot" w:pos="9350"/>
            </w:tabs>
            <w:rPr>
              <w:rFonts w:asciiTheme="minorHAnsi" w:eastAsiaTheme="minorEastAsia" w:hAnsiTheme="minorHAnsi"/>
              <w:caps w:val="0"/>
              <w:noProof/>
              <w:sz w:val="24"/>
              <w:szCs w:val="24"/>
            </w:rPr>
          </w:pPr>
          <w:hyperlink w:anchor="_Toc162953748" w:history="1">
            <w:r w:rsidRPr="00A64FB8">
              <w:rPr>
                <w:rStyle w:val="Hyperlink"/>
                <w:noProof/>
              </w:rPr>
              <w:t>III.</w:t>
            </w:r>
            <w:r>
              <w:rPr>
                <w:rFonts w:asciiTheme="minorHAnsi" w:eastAsiaTheme="minorEastAsia" w:hAnsiTheme="minorHAnsi"/>
                <w:caps w:val="0"/>
                <w:noProof/>
                <w:sz w:val="24"/>
                <w:szCs w:val="24"/>
              </w:rPr>
              <w:tab/>
            </w:r>
            <w:r w:rsidRPr="00A64FB8">
              <w:rPr>
                <w:rStyle w:val="Hyperlink"/>
                <w:noProof/>
              </w:rPr>
              <w:t>Balancing of the Harms and the Public Interest Lean Toward Plaintiffs</w:t>
            </w:r>
            <w:r>
              <w:rPr>
                <w:noProof/>
                <w:webHidden/>
              </w:rPr>
              <w:tab/>
            </w:r>
            <w:r>
              <w:rPr>
                <w:noProof/>
                <w:webHidden/>
              </w:rPr>
              <w:fldChar w:fldCharType="begin"/>
            </w:r>
            <w:r>
              <w:rPr>
                <w:noProof/>
                <w:webHidden/>
              </w:rPr>
              <w:instrText xml:space="preserve"> PAGEREF _Toc162953748 \h </w:instrText>
            </w:r>
            <w:r>
              <w:rPr>
                <w:noProof/>
                <w:webHidden/>
              </w:rPr>
            </w:r>
            <w:r>
              <w:rPr>
                <w:noProof/>
                <w:webHidden/>
              </w:rPr>
              <w:fldChar w:fldCharType="separate"/>
            </w:r>
            <w:r>
              <w:rPr>
                <w:noProof/>
                <w:webHidden/>
              </w:rPr>
              <w:t>13</w:t>
            </w:r>
            <w:r>
              <w:rPr>
                <w:noProof/>
                <w:webHidden/>
              </w:rPr>
              <w:fldChar w:fldCharType="end"/>
            </w:r>
          </w:hyperlink>
        </w:p>
        <w:p w14:paraId="33DAC345" w14:textId="1DC79BB8" w:rsidR="003C7034" w:rsidRDefault="003C7034">
          <w:pPr>
            <w:pStyle w:val="TOC1"/>
            <w:rPr>
              <w:rFonts w:asciiTheme="minorHAnsi" w:eastAsiaTheme="minorEastAsia" w:hAnsiTheme="minorHAnsi"/>
              <w:noProof/>
              <w:sz w:val="24"/>
              <w:szCs w:val="24"/>
            </w:rPr>
          </w:pPr>
          <w:hyperlink w:anchor="_Toc162953749" w:history="1">
            <w:r w:rsidRPr="00A64FB8">
              <w:rPr>
                <w:rStyle w:val="Hyperlink"/>
                <w:noProof/>
              </w:rPr>
              <w:t>CONCLUSION</w:t>
            </w:r>
            <w:r>
              <w:rPr>
                <w:noProof/>
                <w:webHidden/>
              </w:rPr>
              <w:tab/>
            </w:r>
            <w:r>
              <w:rPr>
                <w:noProof/>
                <w:webHidden/>
              </w:rPr>
              <w:fldChar w:fldCharType="begin"/>
            </w:r>
            <w:r>
              <w:rPr>
                <w:noProof/>
                <w:webHidden/>
              </w:rPr>
              <w:instrText xml:space="preserve"> PAGEREF _Toc162953749 \h </w:instrText>
            </w:r>
            <w:r>
              <w:rPr>
                <w:noProof/>
                <w:webHidden/>
              </w:rPr>
            </w:r>
            <w:r>
              <w:rPr>
                <w:noProof/>
                <w:webHidden/>
              </w:rPr>
              <w:fldChar w:fldCharType="separate"/>
            </w:r>
            <w:r>
              <w:rPr>
                <w:noProof/>
                <w:webHidden/>
              </w:rPr>
              <w:t>16</w:t>
            </w:r>
            <w:r>
              <w:rPr>
                <w:noProof/>
                <w:webHidden/>
              </w:rPr>
              <w:fldChar w:fldCharType="end"/>
            </w:r>
          </w:hyperlink>
        </w:p>
        <w:p w14:paraId="6A820DE6" w14:textId="24FCF4DA" w:rsidR="003C7034" w:rsidRDefault="003C7034">
          <w:pPr>
            <w:pStyle w:val="TOC1"/>
            <w:rPr>
              <w:rFonts w:asciiTheme="minorHAnsi" w:eastAsiaTheme="minorEastAsia" w:hAnsiTheme="minorHAnsi"/>
              <w:noProof/>
              <w:sz w:val="24"/>
              <w:szCs w:val="24"/>
            </w:rPr>
          </w:pPr>
          <w:hyperlink w:anchor="_Toc162953750" w:history="1">
            <w:r w:rsidRPr="00A64FB8">
              <w:rPr>
                <w:rStyle w:val="Hyperlink"/>
                <w:noProof/>
              </w:rPr>
              <w:t>CERTIFICATIONS OF COUNSEL</w:t>
            </w:r>
            <w:r>
              <w:rPr>
                <w:noProof/>
                <w:webHidden/>
              </w:rPr>
              <w:tab/>
            </w:r>
            <w:r>
              <w:rPr>
                <w:noProof/>
                <w:webHidden/>
              </w:rPr>
              <w:fldChar w:fldCharType="begin"/>
            </w:r>
            <w:r>
              <w:rPr>
                <w:noProof/>
                <w:webHidden/>
              </w:rPr>
              <w:instrText xml:space="preserve"> PAGEREF _Toc162953750 \h </w:instrText>
            </w:r>
            <w:r>
              <w:rPr>
                <w:noProof/>
                <w:webHidden/>
              </w:rPr>
            </w:r>
            <w:r>
              <w:rPr>
                <w:noProof/>
                <w:webHidden/>
              </w:rPr>
              <w:fldChar w:fldCharType="separate"/>
            </w:r>
            <w:r>
              <w:rPr>
                <w:noProof/>
                <w:webHidden/>
              </w:rPr>
              <w:t>17</w:t>
            </w:r>
            <w:r>
              <w:rPr>
                <w:noProof/>
                <w:webHidden/>
              </w:rPr>
              <w:fldChar w:fldCharType="end"/>
            </w:r>
          </w:hyperlink>
        </w:p>
        <w:p w14:paraId="1A5C169C" w14:textId="6FAC6FD8" w:rsidR="003C7034" w:rsidRDefault="003C7034">
          <w:pPr>
            <w:pStyle w:val="TOC1"/>
            <w:rPr>
              <w:rFonts w:asciiTheme="minorHAnsi" w:eastAsiaTheme="minorEastAsia" w:hAnsiTheme="minorHAnsi"/>
              <w:noProof/>
              <w:sz w:val="24"/>
              <w:szCs w:val="24"/>
            </w:rPr>
          </w:pPr>
          <w:hyperlink w:anchor="_Toc162953751" w:history="1">
            <w:r w:rsidRPr="00A64FB8">
              <w:rPr>
                <w:rStyle w:val="Hyperlink"/>
                <w:noProof/>
              </w:rPr>
              <w:t>CERTIFICATE OF SERVICE</w:t>
            </w:r>
            <w:r>
              <w:rPr>
                <w:noProof/>
                <w:webHidden/>
              </w:rPr>
              <w:tab/>
            </w:r>
            <w:r>
              <w:rPr>
                <w:noProof/>
                <w:webHidden/>
              </w:rPr>
              <w:fldChar w:fldCharType="begin"/>
            </w:r>
            <w:r>
              <w:rPr>
                <w:noProof/>
                <w:webHidden/>
              </w:rPr>
              <w:instrText xml:space="preserve"> PAGEREF _Toc162953751 \h </w:instrText>
            </w:r>
            <w:r>
              <w:rPr>
                <w:noProof/>
                <w:webHidden/>
              </w:rPr>
            </w:r>
            <w:r>
              <w:rPr>
                <w:noProof/>
                <w:webHidden/>
              </w:rPr>
              <w:fldChar w:fldCharType="separate"/>
            </w:r>
            <w:r>
              <w:rPr>
                <w:noProof/>
                <w:webHidden/>
              </w:rPr>
              <w:t>18</w:t>
            </w:r>
            <w:r>
              <w:rPr>
                <w:noProof/>
                <w:webHidden/>
              </w:rPr>
              <w:fldChar w:fldCharType="end"/>
            </w:r>
          </w:hyperlink>
        </w:p>
        <w:p w14:paraId="33A35B8E" w14:textId="59DC2148" w:rsidR="006373C9" w:rsidRPr="001478C1" w:rsidRDefault="00742AB9">
          <w:pPr>
            <w:rPr>
              <w:sz w:val="28"/>
              <w:szCs w:val="28"/>
            </w:rPr>
          </w:pPr>
          <w:r>
            <w:rPr>
              <w:sz w:val="28"/>
              <w:szCs w:val="28"/>
            </w:rPr>
            <w:fldChar w:fldCharType="end"/>
          </w:r>
        </w:p>
      </w:sdtContent>
    </w:sdt>
    <w:p w14:paraId="476DF72B" w14:textId="77777777" w:rsidR="0044528A" w:rsidRPr="001478C1" w:rsidRDefault="0044528A">
      <w:pPr>
        <w:spacing w:after="160" w:line="259" w:lineRule="auto"/>
        <w:jc w:val="left"/>
        <w:rPr>
          <w:sz w:val="28"/>
          <w:szCs w:val="28"/>
        </w:rPr>
      </w:pPr>
      <w:r w:rsidRPr="001478C1">
        <w:rPr>
          <w:sz w:val="28"/>
          <w:szCs w:val="28"/>
        </w:rPr>
        <w:br w:type="page"/>
      </w:r>
    </w:p>
    <w:p w14:paraId="45C9AD54" w14:textId="77777777" w:rsidR="0044528A" w:rsidRDefault="0044528A" w:rsidP="001478C1">
      <w:pPr>
        <w:pStyle w:val="Heading1"/>
      </w:pPr>
      <w:bookmarkStart w:id="1" w:name="_Toc162953742"/>
      <w:r w:rsidRPr="001478C1">
        <w:lastRenderedPageBreak/>
        <w:t>TABLE OF AUTHORITIES</w:t>
      </w:r>
      <w:bookmarkEnd w:id="1"/>
    </w:p>
    <w:p w14:paraId="4C00FB3B" w14:textId="77777777" w:rsidR="00867F9B" w:rsidRDefault="00FF573C">
      <w:pPr>
        <w:pStyle w:val="TOAHeading"/>
        <w:tabs>
          <w:tab w:val="right" w:leader="dot" w:pos="9350"/>
        </w:tabs>
        <w:rPr>
          <w:rFonts w:asciiTheme="minorHAnsi" w:eastAsiaTheme="minorEastAsia" w:hAnsiTheme="minorHAnsi" w:cstheme="minorBidi"/>
          <w:b w:val="0"/>
          <w:bCs w:val="0"/>
          <w:noProof/>
        </w:rPr>
      </w:pPr>
      <w:r>
        <w:rPr>
          <w:b w:val="0"/>
          <w:bCs w:val="0"/>
        </w:rPr>
        <w:fldChar w:fldCharType="begin"/>
      </w:r>
      <w:r>
        <w:rPr>
          <w:b w:val="0"/>
          <w:bCs w:val="0"/>
        </w:rPr>
        <w:instrText xml:space="preserve"> TOA \h \c "1" \p </w:instrText>
      </w:r>
      <w:r>
        <w:rPr>
          <w:b w:val="0"/>
          <w:bCs w:val="0"/>
        </w:rPr>
        <w:fldChar w:fldCharType="separate"/>
      </w:r>
      <w:r w:rsidR="00867F9B">
        <w:rPr>
          <w:noProof/>
        </w:rPr>
        <w:t>Cases</w:t>
      </w:r>
    </w:p>
    <w:p w14:paraId="5CB2E78A" w14:textId="77777777" w:rsidR="00867F9B" w:rsidRDefault="00867F9B">
      <w:pPr>
        <w:pStyle w:val="TableofAuthorities"/>
        <w:tabs>
          <w:tab w:val="right" w:leader="dot" w:pos="9350"/>
        </w:tabs>
        <w:rPr>
          <w:noProof/>
        </w:rPr>
      </w:pPr>
      <w:r w:rsidRPr="00CD4D47">
        <w:rPr>
          <w:i/>
          <w:iCs/>
          <w:noProof/>
        </w:rPr>
        <w:t>Donald J. Trump for President, Inc. v. Sec’y Pa.</w:t>
      </w:r>
      <w:r>
        <w:rPr>
          <w:noProof/>
        </w:rPr>
        <w:t>, 830 F. App’x 377 (3d Cir. 2020)</w:t>
      </w:r>
      <w:r>
        <w:rPr>
          <w:noProof/>
        </w:rPr>
        <w:tab/>
        <w:t>16</w:t>
      </w:r>
    </w:p>
    <w:p w14:paraId="5669828E" w14:textId="77777777" w:rsidR="00867F9B" w:rsidRDefault="00867F9B">
      <w:pPr>
        <w:pStyle w:val="TableofAuthorities"/>
        <w:tabs>
          <w:tab w:val="right" w:leader="dot" w:pos="9350"/>
        </w:tabs>
        <w:rPr>
          <w:noProof/>
        </w:rPr>
      </w:pPr>
      <w:r w:rsidRPr="00CD4D47">
        <w:rPr>
          <w:i/>
          <w:iCs/>
          <w:noProof/>
        </w:rPr>
        <w:t>ECRI v. McGraw-Hill, Inc.</w:t>
      </w:r>
      <w:r>
        <w:rPr>
          <w:noProof/>
        </w:rPr>
        <w:t>, 809 F.2d 223 (3d Cir. 1987)</w:t>
      </w:r>
      <w:r>
        <w:rPr>
          <w:noProof/>
        </w:rPr>
        <w:tab/>
        <w:t>7</w:t>
      </w:r>
    </w:p>
    <w:p w14:paraId="28C2713B" w14:textId="77777777" w:rsidR="00867F9B" w:rsidRDefault="00867F9B">
      <w:pPr>
        <w:pStyle w:val="TableofAuthorities"/>
        <w:tabs>
          <w:tab w:val="right" w:leader="dot" w:pos="9350"/>
        </w:tabs>
        <w:rPr>
          <w:noProof/>
        </w:rPr>
      </w:pPr>
      <w:r w:rsidRPr="00CD4D47">
        <w:rPr>
          <w:i/>
          <w:iCs/>
          <w:noProof/>
        </w:rPr>
        <w:t>Grupo Mexicano De Desarrollo v. Alliance Bond Fund</w:t>
      </w:r>
      <w:r>
        <w:rPr>
          <w:noProof/>
        </w:rPr>
        <w:t>, 527 U.S. 308 (1999)</w:t>
      </w:r>
      <w:r>
        <w:rPr>
          <w:noProof/>
        </w:rPr>
        <w:tab/>
        <w:t>7</w:t>
      </w:r>
    </w:p>
    <w:p w14:paraId="467EB0A3" w14:textId="77777777" w:rsidR="00867F9B" w:rsidRDefault="00867F9B">
      <w:pPr>
        <w:pStyle w:val="TableofAuthorities"/>
        <w:tabs>
          <w:tab w:val="right" w:leader="dot" w:pos="9350"/>
        </w:tabs>
        <w:rPr>
          <w:noProof/>
        </w:rPr>
      </w:pPr>
      <w:r w:rsidRPr="00CD4D47">
        <w:rPr>
          <w:i/>
          <w:iCs/>
          <w:noProof/>
        </w:rPr>
        <w:t>Instant Air Freight Co. v. C.F. Air Freight, Inc.</w:t>
      </w:r>
      <w:r>
        <w:rPr>
          <w:noProof/>
        </w:rPr>
        <w:t>, 882 F.2d 797 (3d Cir. 1989)</w:t>
      </w:r>
      <w:r>
        <w:rPr>
          <w:noProof/>
        </w:rPr>
        <w:tab/>
        <w:t>7</w:t>
      </w:r>
    </w:p>
    <w:p w14:paraId="054B2CA5" w14:textId="77777777" w:rsidR="00867F9B" w:rsidRDefault="00867F9B">
      <w:pPr>
        <w:pStyle w:val="TableofAuthorities"/>
        <w:tabs>
          <w:tab w:val="right" w:leader="dot" w:pos="9350"/>
        </w:tabs>
        <w:rPr>
          <w:noProof/>
        </w:rPr>
      </w:pPr>
      <w:r w:rsidRPr="00CD4D47">
        <w:rPr>
          <w:i/>
          <w:iCs/>
          <w:noProof/>
        </w:rPr>
        <w:t>Moteles v. University of Pennsylvania</w:t>
      </w:r>
      <w:r>
        <w:rPr>
          <w:noProof/>
        </w:rPr>
        <w:t>, 730 F.2d 913 (3d Cir. 1984)</w:t>
      </w:r>
      <w:r>
        <w:rPr>
          <w:noProof/>
        </w:rPr>
        <w:tab/>
        <w:t>8</w:t>
      </w:r>
    </w:p>
    <w:p w14:paraId="2FFC57BC" w14:textId="77777777" w:rsidR="00867F9B" w:rsidRDefault="00867F9B">
      <w:pPr>
        <w:pStyle w:val="TableofAuthorities"/>
        <w:tabs>
          <w:tab w:val="right" w:leader="dot" w:pos="9350"/>
        </w:tabs>
        <w:rPr>
          <w:noProof/>
        </w:rPr>
      </w:pPr>
      <w:r w:rsidRPr="00CD4D47">
        <w:rPr>
          <w:i/>
          <w:iCs/>
          <w:noProof/>
        </w:rPr>
        <w:t>Revel AC, Inc. v. IDEA Boardwalk LLC</w:t>
      </w:r>
      <w:r>
        <w:rPr>
          <w:noProof/>
        </w:rPr>
        <w:t>, 802 F.3d 558 (3d Cir. 2015)</w:t>
      </w:r>
      <w:r>
        <w:rPr>
          <w:noProof/>
        </w:rPr>
        <w:tab/>
        <w:t>7, 8</w:t>
      </w:r>
    </w:p>
    <w:p w14:paraId="7EBE9E0F" w14:textId="77777777" w:rsidR="00867F9B" w:rsidRDefault="00867F9B">
      <w:pPr>
        <w:pStyle w:val="TableofAuthorities"/>
        <w:tabs>
          <w:tab w:val="right" w:leader="dot" w:pos="9350"/>
        </w:tabs>
        <w:rPr>
          <w:noProof/>
        </w:rPr>
      </w:pPr>
      <w:r w:rsidRPr="00CD4D47">
        <w:rPr>
          <w:i/>
          <w:iCs/>
          <w:noProof/>
        </w:rPr>
        <w:t>Roland Mach. Co. v. Dresser Indus., Inc.</w:t>
      </w:r>
      <w:r>
        <w:rPr>
          <w:noProof/>
        </w:rPr>
        <w:t>, 749 F.2d 380 (7th Cir. 1984)</w:t>
      </w:r>
      <w:r>
        <w:rPr>
          <w:noProof/>
        </w:rPr>
        <w:tab/>
        <w:t>8</w:t>
      </w:r>
    </w:p>
    <w:p w14:paraId="71C2B2B0" w14:textId="77777777" w:rsidR="00867F9B" w:rsidRDefault="00867F9B">
      <w:pPr>
        <w:pStyle w:val="TableofAuthorities"/>
        <w:tabs>
          <w:tab w:val="right" w:leader="dot" w:pos="9350"/>
        </w:tabs>
        <w:rPr>
          <w:noProof/>
        </w:rPr>
      </w:pPr>
      <w:r w:rsidRPr="00CD4D47">
        <w:rPr>
          <w:i/>
          <w:iCs/>
          <w:noProof/>
        </w:rPr>
        <w:t>Spacemax Int’l LLC v. Core Health &amp; Fitness, LLC</w:t>
      </w:r>
      <w:r>
        <w:rPr>
          <w:noProof/>
        </w:rPr>
        <w:t>, 2013 U.S. Dist. LEXIS 154638 (D.N.J. Oct. 28, 2013)</w:t>
      </w:r>
      <w:r>
        <w:rPr>
          <w:noProof/>
        </w:rPr>
        <w:tab/>
        <w:t>7</w:t>
      </w:r>
    </w:p>
    <w:p w14:paraId="2F7EE541" w14:textId="554DF2E9" w:rsidR="00352E92" w:rsidRDefault="00FF573C" w:rsidP="00352E92">
      <w:r>
        <w:rPr>
          <w:rFonts w:eastAsiaTheme="majorEastAsia" w:cstheme="majorBidi"/>
          <w:b/>
          <w:bCs/>
          <w:sz w:val="28"/>
          <w:szCs w:val="24"/>
        </w:rPr>
        <w:fldChar w:fldCharType="end"/>
      </w:r>
    </w:p>
    <w:p w14:paraId="2016EB55" w14:textId="77777777" w:rsidR="00352E92" w:rsidRPr="00352E92" w:rsidRDefault="00352E92" w:rsidP="00352E92"/>
    <w:p w14:paraId="08795BA7" w14:textId="77777777" w:rsidR="0044528A" w:rsidRPr="001478C1" w:rsidRDefault="0044528A">
      <w:pPr>
        <w:spacing w:after="160" w:line="259" w:lineRule="auto"/>
        <w:jc w:val="left"/>
        <w:rPr>
          <w:sz w:val="28"/>
          <w:szCs w:val="28"/>
        </w:rPr>
        <w:sectPr w:rsidR="0044528A" w:rsidRPr="001478C1" w:rsidSect="001529D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lowerRoman"/>
          <w:cols w:space="720"/>
          <w:titlePg/>
          <w:docGrid w:linePitch="360"/>
        </w:sectPr>
      </w:pPr>
    </w:p>
    <w:p w14:paraId="7A5017FF" w14:textId="613D5E2F" w:rsidR="006373C9" w:rsidRPr="001478C1" w:rsidRDefault="007605A6" w:rsidP="001478C1">
      <w:pPr>
        <w:pStyle w:val="Heading1"/>
      </w:pPr>
      <w:bookmarkStart w:id="2" w:name="_Toc162953743"/>
      <w:r w:rsidRPr="001478C1">
        <w:lastRenderedPageBreak/>
        <w:t>INTEREST OF AMIC</w:t>
      </w:r>
      <w:r w:rsidR="00350A14" w:rsidRPr="001478C1">
        <w:t>I</w:t>
      </w:r>
      <w:r w:rsidRPr="001478C1">
        <w:t xml:space="preserve"> CURIAE</w:t>
      </w:r>
      <w:r w:rsidR="006373C9" w:rsidRPr="001478C1">
        <w:rPr>
          <w:rStyle w:val="FootnoteReference"/>
        </w:rPr>
        <w:footnoteReference w:id="1"/>
      </w:r>
      <w:bookmarkEnd w:id="2"/>
    </w:p>
    <w:p w14:paraId="119C220F" w14:textId="77777777" w:rsidR="00C71476" w:rsidRPr="001478C1" w:rsidRDefault="00860B83" w:rsidP="001478C1">
      <w:pPr>
        <w:pStyle w:val="BriefText"/>
      </w:pPr>
      <w:r w:rsidRPr="001478C1">
        <w:t>Ravi Bhalla is the Mayor of the City of Hoboken and a candidate for the United States House of Representatives in New Jersey’s 8</w:t>
      </w:r>
      <w:r w:rsidRPr="001478C1">
        <w:rPr>
          <w:vertAlign w:val="superscript"/>
        </w:rPr>
        <w:t>th</w:t>
      </w:r>
      <w:r w:rsidRPr="001478C1">
        <w:t xml:space="preserve"> Congressional District.</w:t>
      </w:r>
    </w:p>
    <w:p w14:paraId="3D2824F5" w14:textId="4F72E476" w:rsidR="00860B83" w:rsidRPr="001478C1" w:rsidRDefault="00C71476" w:rsidP="001478C1">
      <w:pPr>
        <w:pStyle w:val="BriefText"/>
      </w:pPr>
      <w:r w:rsidRPr="001478C1">
        <w:t xml:space="preserve">Jerry Speziale is the Public Safety Director for </w:t>
      </w:r>
      <w:r w:rsidR="0085172D" w:rsidRPr="001478C1">
        <w:t>the Police</w:t>
      </w:r>
      <w:r w:rsidRPr="001478C1">
        <w:t xml:space="preserve"> and Fire Departments of the City of Paterson and a candidate for </w:t>
      </w:r>
      <w:r w:rsidR="0085172D" w:rsidRPr="001478C1">
        <w:t>Sheriff of Passaic County. Mr. Speziale previously served as Sheriff</w:t>
      </w:r>
      <w:r w:rsidR="00FA5EC9" w:rsidRPr="001478C1">
        <w:t xml:space="preserve"> of Passaic County</w:t>
      </w:r>
      <w:r w:rsidR="0085172D" w:rsidRPr="001478C1">
        <w:t xml:space="preserve"> from 2001 to 2010.</w:t>
      </w:r>
    </w:p>
    <w:p w14:paraId="2103D1B3" w14:textId="0F0EAB7A" w:rsidR="00C71476" w:rsidRPr="001478C1" w:rsidRDefault="0085172D" w:rsidP="001478C1">
      <w:pPr>
        <w:pStyle w:val="BriefText"/>
      </w:pPr>
      <w:r w:rsidRPr="001478C1">
        <w:t xml:space="preserve">Dr. </w:t>
      </w:r>
      <w:r w:rsidR="00C71476" w:rsidRPr="001478C1">
        <w:t>Patricia Campos-Medina</w:t>
      </w:r>
      <w:r w:rsidRPr="001478C1">
        <w:t xml:space="preserve"> is a nationally recognized labor and political leader</w:t>
      </w:r>
      <w:r w:rsidR="00E7671D" w:rsidRPr="001478C1">
        <w:t xml:space="preserve">, </w:t>
      </w:r>
      <w:r w:rsidRPr="001478C1">
        <w:t>the Executive Director of the Worker Institute at Cornell University</w:t>
      </w:r>
      <w:r w:rsidR="00E7671D" w:rsidRPr="001478C1">
        <w:t xml:space="preserve">, and </w:t>
      </w:r>
      <w:r w:rsidRPr="001478C1">
        <w:t>a candidate for the United States Senate.</w:t>
      </w:r>
    </w:p>
    <w:p w14:paraId="3A4D3EBE" w14:textId="2A83BA8F" w:rsidR="004D1190" w:rsidRDefault="00B77199" w:rsidP="001478C1">
      <w:pPr>
        <w:pStyle w:val="BriefText"/>
      </w:pPr>
      <w:r w:rsidRPr="001478C1">
        <w:t xml:space="preserve">All three </w:t>
      </w:r>
      <w:r w:rsidRPr="001478C1">
        <w:rPr>
          <w:i/>
          <w:iCs/>
        </w:rPr>
        <w:t>amici</w:t>
      </w:r>
      <w:r w:rsidRPr="001478C1">
        <w:t xml:space="preserve"> have qualified to appear on their respective ballots in the upcoming </w:t>
      </w:r>
      <w:r w:rsidR="00572787" w:rsidRPr="001478C1">
        <w:t>June 4, 2024</w:t>
      </w:r>
      <w:r w:rsidR="004A70D5" w:rsidRPr="001478C1">
        <w:t>,</w:t>
      </w:r>
      <w:r w:rsidR="00572787" w:rsidRPr="001478C1">
        <w:t xml:space="preserve"> primary election for the Democratic Party.</w:t>
      </w:r>
      <w:r w:rsidR="00E7762A" w:rsidRPr="001478C1">
        <w:t xml:space="preserve"> </w:t>
      </w:r>
      <w:r w:rsidR="00E7762A" w:rsidRPr="00266A27">
        <w:t xml:space="preserve">However, they have not received the “county line,” and thus, </w:t>
      </w:r>
      <w:r w:rsidR="008B1226" w:rsidRPr="00266A27">
        <w:t xml:space="preserve">will be forced to bracket and associate with other candidates to </w:t>
      </w:r>
      <w:r w:rsidR="0096452A" w:rsidRPr="00266A27">
        <w:t xml:space="preserve">either </w:t>
      </w:r>
      <w:r w:rsidR="008B1226" w:rsidRPr="00266A27">
        <w:t xml:space="preserve">obtain </w:t>
      </w:r>
      <w:r w:rsidR="00E7762A" w:rsidRPr="00266A27">
        <w:t>preferential ballot placement in any county ballot on which they will appear</w:t>
      </w:r>
      <w:r w:rsidR="0096452A" w:rsidRPr="00266A27">
        <w:t>, or to avoid being featured alone in “Ballot Siberia</w:t>
      </w:r>
      <w:r w:rsidR="00E7762A" w:rsidRPr="00266A27">
        <w:t>.</w:t>
      </w:r>
      <w:r w:rsidR="0096452A">
        <w:t>”</w:t>
      </w:r>
      <w:r w:rsidR="00AC21C5" w:rsidRPr="001478C1">
        <w:t xml:space="preserve"> </w:t>
      </w:r>
      <w:r w:rsidR="0096452A">
        <w:t xml:space="preserve">Each of the three will suffer irreparable harm if the District Court’s preliminary injunction is stayed, as they will be competing against the county line, which has a statistically significant effect in terms of the benefits that flow to endorsed candidates. </w:t>
      </w:r>
      <w:r w:rsidR="00087FA7">
        <w:t>E</w:t>
      </w:r>
      <w:r w:rsidR="00087FA7" w:rsidRPr="00087FA7">
        <w:t xml:space="preserve">ach </w:t>
      </w:r>
      <w:r w:rsidR="00087FA7">
        <w:t xml:space="preserve">will </w:t>
      </w:r>
      <w:r w:rsidR="00087FA7" w:rsidRPr="00087FA7">
        <w:t xml:space="preserve">be forced to sit in a statistically less advantageous position on ballots and </w:t>
      </w:r>
      <w:r w:rsidR="00087FA7">
        <w:t xml:space="preserve">the Court would be </w:t>
      </w:r>
      <w:r w:rsidR="00087FA7" w:rsidRPr="00087FA7">
        <w:t>perpetuat</w:t>
      </w:r>
      <w:r w:rsidR="00087FA7">
        <w:t>ing</w:t>
      </w:r>
      <w:r w:rsidR="00087FA7" w:rsidRPr="00087FA7">
        <w:t xml:space="preserve"> an election process that is demonstrably unfair, uneven, and </w:t>
      </w:r>
      <w:r w:rsidR="00087FA7" w:rsidRPr="00087FA7">
        <w:lastRenderedPageBreak/>
        <w:t>unconstitutional.</w:t>
      </w:r>
      <w:r w:rsidR="00087FA7" w:rsidRPr="00087FA7">
        <w:t xml:space="preserve"> </w:t>
      </w:r>
      <w:r w:rsidR="00AC21C5" w:rsidRPr="001478C1">
        <w:t xml:space="preserve">As such, </w:t>
      </w:r>
      <w:r w:rsidR="0096452A" w:rsidRPr="0096452A">
        <w:rPr>
          <w:i/>
          <w:iCs/>
        </w:rPr>
        <w:t>amici</w:t>
      </w:r>
      <w:r w:rsidR="00AC21C5" w:rsidRPr="001478C1">
        <w:t xml:space="preserve"> have a stronger interest in ensuring that the preliminary relief </w:t>
      </w:r>
      <w:r w:rsidR="00E8154C" w:rsidRPr="001478C1">
        <w:t>remains</w:t>
      </w:r>
      <w:r w:rsidR="00AC21C5" w:rsidRPr="001478C1">
        <w:t xml:space="preserve"> in effect</w:t>
      </w:r>
      <w:r w:rsidR="00ED5D85" w:rsidRPr="001478C1">
        <w:t xml:space="preserve">—and will suffer the greatest harm should it </w:t>
      </w:r>
      <w:r w:rsidR="00F9675C" w:rsidRPr="001478C1">
        <w:t>be stayed</w:t>
      </w:r>
      <w:r w:rsidR="00ED5D85" w:rsidRPr="001478C1">
        <w:t>—</w:t>
      </w:r>
      <w:r w:rsidR="00AC21C5" w:rsidRPr="001478C1">
        <w:t xml:space="preserve">than nearly any other party in the </w:t>
      </w:r>
      <w:r w:rsidR="00ED5D85" w:rsidRPr="001478C1">
        <w:t>litigation</w:t>
      </w:r>
      <w:r w:rsidR="00AC21C5" w:rsidRPr="001478C1">
        <w:t>.</w:t>
      </w:r>
    </w:p>
    <w:p w14:paraId="1CB1923B" w14:textId="4DB14802" w:rsidR="00525D05" w:rsidRDefault="004D1190" w:rsidP="00C70425">
      <w:pPr>
        <w:pStyle w:val="BriefText"/>
      </w:pPr>
      <w:r>
        <w:t>Moreover</w:t>
      </w:r>
      <w:r w:rsidR="004027EE">
        <w:t>,</w:t>
      </w:r>
      <w:r w:rsidR="00B32CE6">
        <w:t xml:space="preserve"> the consequences of a stay of the District Court’s preliminary injunction affects every election on the ballot, from the </w:t>
      </w:r>
      <w:r w:rsidR="00590031">
        <w:t>duly elected members of the Democratic Party’s County and Municipal Committees all the way up to President of the United States. In other words, plaintiffs are not the only candidates affected here, and given the public interest at stake, and the Court’s obligation to consider that interest, as discussed herein, support</w:t>
      </w:r>
      <w:r w:rsidR="00D45593">
        <w:t xml:space="preserve"> consideration of how its decision will affect at least some of those other candidates. </w:t>
      </w:r>
      <w:r w:rsidR="00D45593" w:rsidRPr="00D45593">
        <w:rPr>
          <w:i/>
          <w:iCs/>
        </w:rPr>
        <w:t>Amici</w:t>
      </w:r>
      <w:r w:rsidR="00D45593">
        <w:t xml:space="preserve"> include leading candidates for the </w:t>
      </w:r>
      <w:r w:rsidR="00BE483C">
        <w:t>U.S. </w:t>
      </w:r>
      <w:r w:rsidR="00D45593">
        <w:t>Senate, House of Representatives, and County Sheriff.</w:t>
      </w:r>
      <w:r w:rsidR="00B24F06">
        <w:t xml:space="preserve"> Their voices are distinctly relevant to any balancing analysis of the harm imposed by injunctive relief</w:t>
      </w:r>
      <w:r w:rsidR="00BE483C">
        <w:t>, and as such, should be considered by the Court in rendering its decision.</w:t>
      </w:r>
    </w:p>
    <w:p w14:paraId="25245BFB" w14:textId="77777777" w:rsidR="00525D05" w:rsidRDefault="00525D05">
      <w:pPr>
        <w:spacing w:after="160" w:line="259" w:lineRule="auto"/>
        <w:jc w:val="left"/>
        <w:rPr>
          <w:rFonts w:eastAsia="Calibri" w:cs="Times New Roman"/>
          <w:sz w:val="28"/>
          <w:szCs w:val="28"/>
        </w:rPr>
      </w:pPr>
      <w:r>
        <w:br w:type="page"/>
      </w:r>
    </w:p>
    <w:p w14:paraId="59A1F299" w14:textId="78A79DBA" w:rsidR="007605A6" w:rsidRPr="001478C1" w:rsidRDefault="007605A6" w:rsidP="001478C1">
      <w:pPr>
        <w:pStyle w:val="Heading1"/>
      </w:pPr>
      <w:bookmarkStart w:id="3" w:name="_Toc162953744"/>
      <w:r w:rsidRPr="00EC0993">
        <w:lastRenderedPageBreak/>
        <w:t>PRELIMINARY STATEMENT</w:t>
      </w:r>
      <w:bookmarkEnd w:id="3"/>
    </w:p>
    <w:p w14:paraId="0A3FDDD3" w14:textId="6878FD80" w:rsidR="0057749F" w:rsidRDefault="00BE7F75" w:rsidP="001478C1">
      <w:pPr>
        <w:pStyle w:val="BriefText"/>
      </w:pPr>
      <w:r w:rsidRPr="00BE7F75">
        <w:t xml:space="preserve">Chico Marx, dressed up as Groucho Marx and trying to hoodwink another character in the 1933 classic movie, </w:t>
      </w:r>
      <w:r w:rsidR="006D43AD">
        <w:t>“</w:t>
      </w:r>
      <w:r w:rsidRPr="006D43AD">
        <w:t>Duck Soup,</w:t>
      </w:r>
      <w:r w:rsidR="006D43AD" w:rsidRPr="006D43AD">
        <w:t>”</w:t>
      </w:r>
      <w:r w:rsidRPr="00BE7F75">
        <w:t xml:space="preserve"> famously </w:t>
      </w:r>
      <w:r w:rsidR="00864ECF">
        <w:t>exclaimed</w:t>
      </w:r>
      <w:r w:rsidRPr="00BE7F75">
        <w:t>, “Who ya gonna believe, me or your own eyes?”</w:t>
      </w:r>
      <w:r w:rsidR="0068097E">
        <w:t xml:space="preserve"> </w:t>
      </w:r>
      <w:r w:rsidR="007647DE">
        <w:t xml:space="preserve">That is the question presented to the Court by way of the </w:t>
      </w:r>
      <w:r w:rsidR="00913EE4">
        <w:t xml:space="preserve">emergent </w:t>
      </w:r>
      <w:r w:rsidR="007647DE">
        <w:t>motion for a stay of the District Court’s preliminary injunction</w:t>
      </w:r>
      <w:r w:rsidR="0068097E">
        <w:t>.</w:t>
      </w:r>
    </w:p>
    <w:p w14:paraId="434965D5" w14:textId="77777777" w:rsidR="006924B8" w:rsidRDefault="00C80B82" w:rsidP="006924B8">
      <w:pPr>
        <w:pStyle w:val="BriefText"/>
      </w:pPr>
      <w:r>
        <w:t xml:space="preserve">In essence, the </w:t>
      </w:r>
      <w:proofErr w:type="gramStart"/>
      <w:r w:rsidR="005668F5">
        <w:t>movants</w:t>
      </w:r>
      <w:proofErr w:type="gramEnd"/>
      <w:r w:rsidR="005668F5">
        <w:t xml:space="preserve"> </w:t>
      </w:r>
      <w:r w:rsidR="004E6218">
        <w:t xml:space="preserve">ask this Court to take </w:t>
      </w:r>
      <w:r w:rsidR="00346305">
        <w:t>their</w:t>
      </w:r>
      <w:r w:rsidR="004E6218">
        <w:t xml:space="preserve"> word </w:t>
      </w:r>
      <w:r w:rsidR="00A977A9">
        <w:t xml:space="preserve">that </w:t>
      </w:r>
      <w:r w:rsidR="005668F5">
        <w:t xml:space="preserve">changing to </w:t>
      </w:r>
      <w:r w:rsidR="00A977A9">
        <w:t>a different ballot design, one used in every election in every state in our nation aside from New Jersey</w:t>
      </w:r>
      <w:r w:rsidR="005668F5">
        <w:t xml:space="preserve">, is both impossible to do and will cause significant voter confusion. They rely on hearsay, supposition, and vague </w:t>
      </w:r>
      <w:r w:rsidR="00B97620">
        <w:t>speculation</w:t>
      </w:r>
      <w:r w:rsidR="005668F5">
        <w:t xml:space="preserve"> to do so.</w:t>
      </w:r>
    </w:p>
    <w:p w14:paraId="6BFD82BC" w14:textId="0318A741" w:rsidR="00EC53A5" w:rsidRDefault="005668F5" w:rsidP="006924B8">
      <w:pPr>
        <w:pStyle w:val="BriefText"/>
      </w:pPr>
      <w:r>
        <w:t xml:space="preserve">In contrast, </w:t>
      </w:r>
      <w:r w:rsidR="00BB61CC">
        <w:t xml:space="preserve">it is undisputed </w:t>
      </w:r>
      <w:r w:rsidR="004C0604">
        <w:t xml:space="preserve">that </w:t>
      </w:r>
      <w:r w:rsidR="007D2F77">
        <w:t>the office-block</w:t>
      </w:r>
      <w:r w:rsidR="004C0604">
        <w:t xml:space="preserve"> ballot design </w:t>
      </w:r>
      <w:r w:rsidR="007D2F77">
        <w:t xml:space="preserve">authorized by the District Court </w:t>
      </w:r>
      <w:r w:rsidR="004C0604">
        <w:t>is already in use in every single county in the state</w:t>
      </w:r>
      <w:r w:rsidR="007D2F77">
        <w:t xml:space="preserve"> other than New Jersey</w:t>
      </w:r>
      <w:r w:rsidR="00BB61CC">
        <w:t xml:space="preserve">. Plaintiffs </w:t>
      </w:r>
      <w:r w:rsidR="00BB61CC">
        <w:t xml:space="preserve">offer </w:t>
      </w:r>
      <w:r w:rsidR="00BB61CC">
        <w:t xml:space="preserve">the </w:t>
      </w:r>
      <w:r w:rsidR="00BB61CC">
        <w:t xml:space="preserve">testimony of the movants’ own witnesses to </w:t>
      </w:r>
      <w:r w:rsidR="00BB61CC">
        <w:t>show that an office-block ballot design</w:t>
      </w:r>
      <w:r w:rsidR="004C0604">
        <w:t xml:space="preserve"> </w:t>
      </w:r>
      <w:r w:rsidR="00BB61CC">
        <w:t xml:space="preserve">may be </w:t>
      </w:r>
      <w:r w:rsidR="0016141F">
        <w:t xml:space="preserve">quicker </w:t>
      </w:r>
      <w:r w:rsidR="004C0604">
        <w:t xml:space="preserve">to </w:t>
      </w:r>
      <w:r w:rsidR="006924B8">
        <w:t xml:space="preserve">incorporate </w:t>
      </w:r>
      <w:r w:rsidR="004C0604">
        <w:t xml:space="preserve">than the current </w:t>
      </w:r>
      <w:r w:rsidR="00BB61CC">
        <w:t xml:space="preserve">county line </w:t>
      </w:r>
      <w:r w:rsidR="004C0604">
        <w:t xml:space="preserve">ballot </w:t>
      </w:r>
      <w:r w:rsidR="0016141F">
        <w:t>design</w:t>
      </w:r>
      <w:r w:rsidR="00BB61CC">
        <w:t>. And</w:t>
      </w:r>
      <w:r w:rsidR="0016141F">
        <w:t xml:space="preserve"> </w:t>
      </w:r>
      <w:r w:rsidR="00BB61CC">
        <w:t xml:space="preserve">plaintiffs offer expert testimony to show that an office-block ballot </w:t>
      </w:r>
      <w:r w:rsidR="0016141F">
        <w:t xml:space="preserve">allows for a fairer </w:t>
      </w:r>
      <w:r w:rsidR="004C0604">
        <w:t>ballot that does not discriminate against candidates.</w:t>
      </w:r>
      <w:r w:rsidR="006D65A4">
        <w:t xml:space="preserve"> </w:t>
      </w:r>
      <w:r w:rsidR="00EC53A5">
        <w:t>Despite movants’ best efforts to undermine these facts, they are incontrovertible.</w:t>
      </w:r>
    </w:p>
    <w:p w14:paraId="59319AD2" w14:textId="139819F7" w:rsidR="00E32B35" w:rsidRDefault="00405292" w:rsidP="00A413A6">
      <w:pPr>
        <w:pStyle w:val="BriefText"/>
      </w:pPr>
      <w:r>
        <w:t xml:space="preserve">In other words, the Court should trust its own eyes </w:t>
      </w:r>
      <w:r w:rsidR="00EC53A5">
        <w:t xml:space="preserve">and the plaintiffs’ facts </w:t>
      </w:r>
      <w:r>
        <w:t xml:space="preserve">over the </w:t>
      </w:r>
      <w:r w:rsidR="00EC53A5">
        <w:t xml:space="preserve">movants’ </w:t>
      </w:r>
      <w:r>
        <w:t>unsupported</w:t>
      </w:r>
      <w:r w:rsidR="00EC53A5">
        <w:t>, self-serving,</w:t>
      </w:r>
      <w:r>
        <w:t xml:space="preserve"> and desperate statements</w:t>
      </w:r>
      <w:r w:rsidR="00A507B1">
        <w:t>, and deny the motion for stay pending appeal.</w:t>
      </w:r>
    </w:p>
    <w:p w14:paraId="4D28DD37" w14:textId="77777777" w:rsidR="00E32B35" w:rsidRDefault="00E32B35">
      <w:pPr>
        <w:spacing w:after="160" w:line="259" w:lineRule="auto"/>
        <w:jc w:val="left"/>
        <w:rPr>
          <w:rFonts w:eastAsia="Calibri" w:cs="Times New Roman"/>
          <w:sz w:val="28"/>
          <w:szCs w:val="28"/>
        </w:rPr>
      </w:pPr>
      <w:r>
        <w:br w:type="page"/>
      </w:r>
    </w:p>
    <w:p w14:paraId="1AC1FA40" w14:textId="0E7D2227" w:rsidR="007605A6" w:rsidRPr="001478C1" w:rsidRDefault="002A39F8" w:rsidP="001478C1">
      <w:pPr>
        <w:pStyle w:val="Heading1"/>
      </w:pPr>
      <w:bookmarkStart w:id="4" w:name="_Toc162953745"/>
      <w:r w:rsidRPr="001478C1">
        <w:lastRenderedPageBreak/>
        <w:t>ARGUMENT</w:t>
      </w:r>
      <w:bookmarkEnd w:id="4"/>
    </w:p>
    <w:p w14:paraId="59FB6FB3" w14:textId="751DA5D9" w:rsidR="00882ECC" w:rsidRPr="00F71C2C" w:rsidRDefault="00882ECC" w:rsidP="00C73CE0">
      <w:pPr>
        <w:pStyle w:val="Heading2"/>
      </w:pPr>
      <w:bookmarkStart w:id="5" w:name="_Toc162953746"/>
      <w:r w:rsidRPr="00F71C2C">
        <w:t>Standard of Review</w:t>
      </w:r>
      <w:bookmarkEnd w:id="5"/>
    </w:p>
    <w:p w14:paraId="5A609F41" w14:textId="68C44097" w:rsidR="00D77D28" w:rsidRDefault="00C3317C" w:rsidP="001362FD">
      <w:pPr>
        <w:pStyle w:val="BriefText"/>
      </w:pPr>
      <w:r>
        <w:t xml:space="preserve">With an unending supply of parties to this litigation, the standard of review for a stay of a preliminary injunction pending appeal is undoubtedly well-trod and does not need to be repeated at length. </w:t>
      </w:r>
      <w:r w:rsidR="0061095A">
        <w:t xml:space="preserve">Simply stated, courts </w:t>
      </w:r>
      <w:r w:rsidR="00E87B9C">
        <w:t xml:space="preserve">must </w:t>
      </w:r>
      <w:r w:rsidR="0061095A">
        <w:t>consider four factors:</w:t>
      </w:r>
      <w:r w:rsidR="00125D67">
        <w:t> </w:t>
      </w:r>
      <w:r w:rsidR="0061095A">
        <w:t>(1) whether the movant has made a strong showing of the likelihood of success on the merits; (2) will the movant suffer irreparable injury absent a stay; (3)</w:t>
      </w:r>
      <w:r w:rsidR="00967CDB">
        <w:t> </w:t>
      </w:r>
      <w:r w:rsidR="0061095A">
        <w:t>would a stay substantially harm other parties with an interest in the litigation; and</w:t>
      </w:r>
      <w:r w:rsidR="00967CDB">
        <w:t> </w:t>
      </w:r>
      <w:r w:rsidR="0061095A">
        <w:t xml:space="preserve">(4) whether a stay is in the public interest. </w:t>
      </w:r>
      <w:r w:rsidR="0061095A" w:rsidRPr="0061095A">
        <w:rPr>
          <w:i/>
          <w:iCs/>
        </w:rPr>
        <w:t>See</w:t>
      </w:r>
      <w:r w:rsidR="0061095A">
        <w:t xml:space="preserve"> </w:t>
      </w:r>
      <w:r w:rsidR="0061095A" w:rsidRPr="0061095A">
        <w:rPr>
          <w:i/>
          <w:iCs/>
        </w:rPr>
        <w:t>Revel AC, Inc. v. IDEA Boardwalk LLC</w:t>
      </w:r>
      <w:r w:rsidR="0061095A">
        <w:t>, 802 F.3d 558, 565 (3d Cir. 2015)</w:t>
      </w:r>
      <w:r w:rsidR="00352E92">
        <w:fldChar w:fldCharType="begin"/>
      </w:r>
      <w:r w:rsidR="00352E92">
        <w:instrText xml:space="preserve"> TA \l "</w:instrText>
      </w:r>
      <w:r w:rsidR="00352E92" w:rsidRPr="005B0A1E">
        <w:rPr>
          <w:i/>
          <w:iCs/>
        </w:rPr>
        <w:instrText>Revel AC, Inc. v. IDEA Boardwalk LLC</w:instrText>
      </w:r>
      <w:r w:rsidR="00352E92" w:rsidRPr="005B0A1E">
        <w:instrText>, 802 F.3d 558 (3d Cir. 2015)</w:instrText>
      </w:r>
      <w:r w:rsidR="00352E92">
        <w:instrText xml:space="preserve">" \s "Revel AC, Inc. v. IDEA Boardwalk LLC, 802 F.3d 558 (3d Cir. 2015)" \c 1 </w:instrText>
      </w:r>
      <w:r w:rsidR="00352E92">
        <w:fldChar w:fldCharType="end"/>
      </w:r>
      <w:r w:rsidR="0061095A">
        <w:t xml:space="preserve">. </w:t>
      </w:r>
      <w:r>
        <w:t xml:space="preserve">Of the four elements, </w:t>
      </w:r>
      <w:r w:rsidRPr="00C3317C">
        <w:rPr>
          <w:i/>
          <w:iCs/>
        </w:rPr>
        <w:t>amici</w:t>
      </w:r>
      <w:r>
        <w:t xml:space="preserve"> choose to focus on </w:t>
      </w:r>
      <w:r w:rsidR="00E64624">
        <w:t xml:space="preserve">the </w:t>
      </w:r>
      <w:r w:rsidR="00FC3882">
        <w:t>balancing of the equities</w:t>
      </w:r>
      <w:r>
        <w:t xml:space="preserve">: </w:t>
      </w:r>
      <w:r w:rsidR="00FC3882">
        <w:t xml:space="preserve">a comparison of the </w:t>
      </w:r>
      <w:r w:rsidR="00823721">
        <w:t xml:space="preserve">movants’ </w:t>
      </w:r>
      <w:r w:rsidR="001362FD">
        <w:t xml:space="preserve">alleged </w:t>
      </w:r>
      <w:r>
        <w:t>irreparable harm</w:t>
      </w:r>
      <w:r w:rsidR="00FC3882">
        <w:t xml:space="preserve"> to </w:t>
      </w:r>
      <w:r w:rsidR="00823721">
        <w:t>others with an interest in the litigation</w:t>
      </w:r>
      <w:r w:rsidR="00E64624">
        <w:t xml:space="preserve">, </w:t>
      </w:r>
      <w:r w:rsidR="00FC3882">
        <w:t xml:space="preserve">as well as </w:t>
      </w:r>
      <w:r w:rsidR="00E64624">
        <w:t>the public interest.</w:t>
      </w:r>
    </w:p>
    <w:p w14:paraId="1C7A8C29" w14:textId="5A33AF64" w:rsidR="00AA1355" w:rsidRPr="001478C1" w:rsidRDefault="00005FBE" w:rsidP="001478C1">
      <w:pPr>
        <w:pStyle w:val="BriefText"/>
      </w:pPr>
      <w:r>
        <w:t xml:space="preserve">As a threshold matter, </w:t>
      </w:r>
      <w:r w:rsidR="008677CD">
        <w:t xml:space="preserve">movants must show </w:t>
      </w:r>
      <w:r>
        <w:t>i</w:t>
      </w:r>
      <w:r w:rsidR="00AA1355" w:rsidRPr="001478C1">
        <w:t>rreparable harm</w:t>
      </w:r>
      <w:r w:rsidR="008677CD">
        <w:t>, which</w:t>
      </w:r>
      <w:r w:rsidR="00AA1355" w:rsidRPr="001478C1">
        <w:t xml:space="preserve"> </w:t>
      </w:r>
      <w:r w:rsidR="008677CD">
        <w:t xml:space="preserve">is </w:t>
      </w:r>
      <w:r w:rsidR="00AA1355" w:rsidRPr="001478C1">
        <w:t xml:space="preserve">defined as “potential harm which cannot be redressed by a legal or an equitable remedy following a trial.” </w:t>
      </w:r>
      <w:r w:rsidR="00AA1355" w:rsidRPr="001478C1">
        <w:rPr>
          <w:i/>
          <w:iCs/>
        </w:rPr>
        <w:t>Instant Air Freight Co. v. C.F. Air Freight, Inc.</w:t>
      </w:r>
      <w:r w:rsidR="00AA1355" w:rsidRPr="001478C1">
        <w:t>, 882 F.2d 797, 801 (3d Cir. 1989)</w:t>
      </w:r>
      <w:r w:rsidR="00352E92">
        <w:fldChar w:fldCharType="begin"/>
      </w:r>
      <w:r w:rsidR="00352E92">
        <w:instrText xml:space="preserve"> TA \l "</w:instrText>
      </w:r>
      <w:r w:rsidR="00352E92" w:rsidRPr="005B0A1E">
        <w:rPr>
          <w:i/>
          <w:iCs/>
        </w:rPr>
        <w:instrText>Instant Air Freight Co. v. C.F. Air Freight, Inc.</w:instrText>
      </w:r>
      <w:r w:rsidR="00352E92" w:rsidRPr="005B0A1E">
        <w:instrText>, 882 F.2d 797 (3d Cir. 1989)</w:instrText>
      </w:r>
      <w:r w:rsidR="00352E92">
        <w:instrText xml:space="preserve">" \s "Instant Air Freight Co. v. C.F. Air Freight, Inc., 882 F.2d 797 (3d Cir. 1989)" \c 1 </w:instrText>
      </w:r>
      <w:r w:rsidR="00352E92">
        <w:fldChar w:fldCharType="end"/>
      </w:r>
      <w:r w:rsidR="00AA1355" w:rsidRPr="001478C1">
        <w:t xml:space="preserve">. The harm “must be of a peculiar nature, so that compensation in money cannot atone for it.” </w:t>
      </w:r>
      <w:r w:rsidR="00AA1355" w:rsidRPr="001478C1">
        <w:rPr>
          <w:i/>
          <w:iCs/>
        </w:rPr>
        <w:t>ECRI v. McGraw-Hill, Inc.</w:t>
      </w:r>
      <w:r w:rsidR="00AA1355" w:rsidRPr="001478C1">
        <w:t>, 809 F.2d 223, 226 (3d Cir. 1987)</w:t>
      </w:r>
      <w:r w:rsidR="00352E92">
        <w:fldChar w:fldCharType="begin"/>
      </w:r>
      <w:r w:rsidR="00352E92">
        <w:instrText xml:space="preserve"> TA \l "</w:instrText>
      </w:r>
      <w:r w:rsidR="00352E92" w:rsidRPr="005B0A1E">
        <w:rPr>
          <w:i/>
          <w:iCs/>
        </w:rPr>
        <w:instrText>ECRI v. McGraw-Hill, Inc.</w:instrText>
      </w:r>
      <w:r w:rsidR="00352E92" w:rsidRPr="005B0A1E">
        <w:instrText>, 809 F.2d 223 (3d Cir. 1987)</w:instrText>
      </w:r>
      <w:r w:rsidR="00352E92">
        <w:instrText xml:space="preserve">" \s "ECRI v. McGraw-Hill, Inc., 809 F.2d 223 (3d Cir. 1987)" \c 1 </w:instrText>
      </w:r>
      <w:r w:rsidR="00352E92">
        <w:fldChar w:fldCharType="end"/>
      </w:r>
      <w:r w:rsidR="00AA1355" w:rsidRPr="001478C1">
        <w:t>.</w:t>
      </w:r>
    </w:p>
    <w:p w14:paraId="734321AF" w14:textId="3CA8F04A" w:rsidR="006D3CF6" w:rsidRPr="001478C1" w:rsidRDefault="008647E0" w:rsidP="00F9452C">
      <w:pPr>
        <w:pStyle w:val="BriefText"/>
      </w:pPr>
      <w:r>
        <w:t xml:space="preserve">That said, </w:t>
      </w:r>
      <w:r w:rsidR="00AA1355" w:rsidRPr="001478C1">
        <w:t>“</w:t>
      </w:r>
      <w:r>
        <w:t>[e]</w:t>
      </w:r>
      <w:r w:rsidR="00AA1355" w:rsidRPr="001478C1">
        <w:t xml:space="preserve">stablishing a </w:t>
      </w:r>
      <w:r w:rsidR="00AA1355" w:rsidRPr="00254B2F">
        <w:rPr>
          <w:b/>
          <w:bCs/>
          <w:i/>
          <w:iCs/>
        </w:rPr>
        <w:t>risk</w:t>
      </w:r>
      <w:r w:rsidR="00AA1355" w:rsidRPr="001478C1">
        <w:t xml:space="preserve"> of irreparable harm is not enough.</w:t>
      </w:r>
      <w:r w:rsidR="00A506D1">
        <w:t>”</w:t>
      </w:r>
      <w:r w:rsidR="00AA1355" w:rsidRPr="001478C1">
        <w:t xml:space="preserve"> </w:t>
      </w:r>
      <w:r w:rsidR="003A5EBD" w:rsidRPr="003A5EBD">
        <w:rPr>
          <w:i/>
          <w:iCs/>
        </w:rPr>
        <w:t>I</w:t>
      </w:r>
      <w:r w:rsidR="003A5EBD">
        <w:rPr>
          <w:i/>
          <w:iCs/>
        </w:rPr>
        <w:t>bid</w:t>
      </w:r>
      <w:r w:rsidR="003A5EBD" w:rsidRPr="003A5EBD">
        <w:rPr>
          <w:i/>
          <w:iCs/>
        </w:rPr>
        <w:t>.</w:t>
      </w:r>
      <w:r w:rsidR="00254B2F" w:rsidRPr="00254B2F">
        <w:t xml:space="preserve"> (emphasis added).</w:t>
      </w:r>
      <w:r w:rsidR="00A506D1">
        <w:t xml:space="preserve"> </w:t>
      </w:r>
      <w:r w:rsidR="00AA1355" w:rsidRPr="001478C1">
        <w:t xml:space="preserve">“Mere speculation as to an injury that will result, in the absence of any facts supporting such a claim, is insufficient to demonstrate irreparable harm.” </w:t>
      </w:r>
      <w:proofErr w:type="spellStart"/>
      <w:r w:rsidR="0052003B" w:rsidRPr="0052003B">
        <w:rPr>
          <w:i/>
          <w:iCs/>
        </w:rPr>
        <w:t>Spacemax</w:t>
      </w:r>
      <w:proofErr w:type="spellEnd"/>
      <w:r w:rsidR="0052003B" w:rsidRPr="0052003B">
        <w:rPr>
          <w:i/>
          <w:iCs/>
        </w:rPr>
        <w:t xml:space="preserve"> Int</w:t>
      </w:r>
      <w:r w:rsidR="0052003B">
        <w:rPr>
          <w:i/>
          <w:iCs/>
        </w:rPr>
        <w:t>’</w:t>
      </w:r>
      <w:r w:rsidR="0052003B" w:rsidRPr="0052003B">
        <w:rPr>
          <w:i/>
          <w:iCs/>
        </w:rPr>
        <w:t>l LLC v. Core Health &amp; Fitness, LLC</w:t>
      </w:r>
      <w:r w:rsidR="0052003B" w:rsidRPr="0052003B">
        <w:t>, 2013 U.S. Dist. LEXIS 154638, at *5 (D.N.J. Oct. 28, 2013)</w:t>
      </w:r>
      <w:r w:rsidR="00352E92">
        <w:fldChar w:fldCharType="begin"/>
      </w:r>
      <w:r w:rsidR="00352E92">
        <w:instrText xml:space="preserve"> TA \l "</w:instrText>
      </w:r>
      <w:r w:rsidR="00352E92" w:rsidRPr="005B0A1E">
        <w:rPr>
          <w:i/>
          <w:iCs/>
        </w:rPr>
        <w:instrText>Spacemax Int’l LLC v. Core Health &amp; Fitness, LLC</w:instrText>
      </w:r>
      <w:r w:rsidR="00352E92" w:rsidRPr="005B0A1E">
        <w:instrText>, 2013 U.S. Dist. LEXIS 154638 (D.N.J. Oct. 28, 2013)</w:instrText>
      </w:r>
      <w:r w:rsidR="00352E92">
        <w:instrText xml:space="preserve">" \s "Spacemax Int’l LLC v. Core Health &amp; Fitness, LLC, 2013 U.S. Dist. LEXIS 154638 (D.N.J. Oct. 28, 2013)" \c 1 </w:instrText>
      </w:r>
      <w:r w:rsidR="00352E92">
        <w:fldChar w:fldCharType="end"/>
      </w:r>
      <w:r w:rsidR="0052003B">
        <w:t xml:space="preserve"> </w:t>
      </w:r>
      <w:r w:rsidR="00AA1355" w:rsidRPr="001478C1">
        <w:t>(</w:t>
      </w:r>
      <w:r w:rsidR="00AA1355" w:rsidRPr="001478C1">
        <w:rPr>
          <w:i/>
          <w:iCs/>
        </w:rPr>
        <w:t>citing</w:t>
      </w:r>
      <w:r w:rsidR="00AA1355" w:rsidRPr="001478C1">
        <w:t xml:space="preserve"> </w:t>
      </w:r>
      <w:r w:rsidR="00AA1355" w:rsidRPr="001478C1">
        <w:rPr>
          <w:i/>
          <w:iCs/>
        </w:rPr>
        <w:t>Grupo Mexicano De Desarrollo v. Alliance Bond Fund</w:t>
      </w:r>
      <w:r w:rsidR="00AA1355" w:rsidRPr="001478C1">
        <w:t>, 527 U.S. 308, 327-30 (1999)</w:t>
      </w:r>
      <w:r w:rsidR="00352E92">
        <w:fldChar w:fldCharType="begin"/>
      </w:r>
      <w:r w:rsidR="00352E92">
        <w:instrText xml:space="preserve"> TA \l "</w:instrText>
      </w:r>
      <w:r w:rsidR="00352E92" w:rsidRPr="005B0A1E">
        <w:rPr>
          <w:i/>
          <w:iCs/>
        </w:rPr>
        <w:instrText>Grupo Mexicano De Desarrollo v. Alliance Bond Fund</w:instrText>
      </w:r>
      <w:r w:rsidR="00352E92" w:rsidRPr="005B0A1E">
        <w:instrText>, 527 U.S. 308 (1999)</w:instrText>
      </w:r>
      <w:r w:rsidR="00352E92">
        <w:instrText xml:space="preserve">" \s "Grupo Mexicano De Desarrollo v. Alliance Bond Fund, 527 U.S. 308 (1999)" \c 1 </w:instrText>
      </w:r>
      <w:r w:rsidR="00352E92">
        <w:fldChar w:fldCharType="end"/>
      </w:r>
      <w:r w:rsidR="00AA1355" w:rsidRPr="001478C1">
        <w:t>).</w:t>
      </w:r>
      <w:r w:rsidR="00F9452C">
        <w:t xml:space="preserve"> And, a</w:t>
      </w:r>
      <w:r w:rsidR="00AA1355" w:rsidRPr="001478C1">
        <w:t xml:space="preserve">s a general matter, personal inconvenience alone </w:t>
      </w:r>
      <w:r w:rsidR="00AA1355" w:rsidRPr="001478C1">
        <w:lastRenderedPageBreak/>
        <w:t xml:space="preserve">will not establish irreparable injury in federal court. </w:t>
      </w:r>
      <w:r w:rsidR="005533B7" w:rsidRPr="005533B7">
        <w:rPr>
          <w:i/>
          <w:iCs/>
        </w:rPr>
        <w:t>See</w:t>
      </w:r>
      <w:r w:rsidR="005533B7">
        <w:t xml:space="preserve"> </w:t>
      </w:r>
      <w:proofErr w:type="spellStart"/>
      <w:r w:rsidR="006D3CF6" w:rsidRPr="001478C1">
        <w:rPr>
          <w:i/>
          <w:iCs/>
        </w:rPr>
        <w:t>Moteles</w:t>
      </w:r>
      <w:proofErr w:type="spellEnd"/>
      <w:r w:rsidR="006D3CF6" w:rsidRPr="001478C1">
        <w:rPr>
          <w:i/>
          <w:iCs/>
        </w:rPr>
        <w:t xml:space="preserve"> v. University of Pennsylvania</w:t>
      </w:r>
      <w:r w:rsidR="006D3CF6" w:rsidRPr="001478C1">
        <w:t xml:space="preserve">, </w:t>
      </w:r>
      <w:r w:rsidR="00AA1355" w:rsidRPr="001478C1">
        <w:t>730 F.2d 913 (3d Cir. 1984)</w:t>
      </w:r>
      <w:r w:rsidR="00352E92">
        <w:fldChar w:fldCharType="begin"/>
      </w:r>
      <w:r w:rsidR="00352E92">
        <w:instrText xml:space="preserve"> TA \l "</w:instrText>
      </w:r>
      <w:r w:rsidR="00352E92" w:rsidRPr="005B0A1E">
        <w:rPr>
          <w:i/>
          <w:iCs/>
        </w:rPr>
        <w:instrText>Moteles v. University of Pennsylvania</w:instrText>
      </w:r>
      <w:r w:rsidR="00352E92" w:rsidRPr="005B0A1E">
        <w:instrText>, 730 F.2d 913 (3d Cir. 1984)</w:instrText>
      </w:r>
      <w:r w:rsidR="00352E92">
        <w:instrText xml:space="preserve">" \s "Moteles v. University of Pennsylvania, 730 F.2d 913 (3d Cir. 1984)" \c 1 </w:instrText>
      </w:r>
      <w:r w:rsidR="00352E92">
        <w:fldChar w:fldCharType="end"/>
      </w:r>
      <w:r w:rsidR="005533B7">
        <w:t>.</w:t>
      </w:r>
    </w:p>
    <w:p w14:paraId="4029AE8A" w14:textId="4DFA42A0" w:rsidR="00702103" w:rsidRDefault="00BA440E" w:rsidP="00AE7BEE">
      <w:pPr>
        <w:pStyle w:val="BriefText"/>
      </w:pPr>
      <w:r>
        <w:t>T</w:t>
      </w:r>
      <w:r w:rsidR="00116751">
        <w:t xml:space="preserve">he </w:t>
      </w:r>
      <w:r w:rsidR="0079752D">
        <w:t xml:space="preserve">Third Circuit </w:t>
      </w:r>
      <w:r w:rsidR="00116751">
        <w:t>has said that</w:t>
      </w:r>
      <w:r w:rsidR="000563AB">
        <w:t xml:space="preserve"> </w:t>
      </w:r>
      <w:r>
        <w:t xml:space="preserve">when balancing the harms, </w:t>
      </w:r>
      <w:r w:rsidR="000563AB">
        <w:t>courts must weigh the likely harm to movants against the likely irreparable harm</w:t>
      </w:r>
      <w:r w:rsidR="000563AB">
        <w:rPr>
          <w:rStyle w:val="FootnoteReference"/>
        </w:rPr>
        <w:footnoteReference w:id="2"/>
      </w:r>
      <w:r w:rsidR="000563AB">
        <w:t xml:space="preserve"> to the non-movants.</w:t>
      </w:r>
      <w:r w:rsidR="0033175A">
        <w:t xml:space="preserve"> </w:t>
      </w:r>
      <w:r w:rsidR="0079752D" w:rsidRPr="0079752D">
        <w:rPr>
          <w:i/>
          <w:iCs/>
        </w:rPr>
        <w:t>Revel</w:t>
      </w:r>
      <w:r w:rsidR="0079752D">
        <w:t xml:space="preserve">, 802 F.3d </w:t>
      </w:r>
      <w:r w:rsidR="0007042F">
        <w:t xml:space="preserve">at </w:t>
      </w:r>
      <w:r w:rsidR="0079752D">
        <w:t>569</w:t>
      </w:r>
      <w:r w:rsidR="00352E92">
        <w:fldChar w:fldCharType="begin"/>
      </w:r>
      <w:r w:rsidR="00352E92">
        <w:instrText xml:space="preserve"> TA \s "Revel AC, Inc. v. IDEA Boardwalk LLC, 802 F.3d 558 (3d Cir. 2015)" </w:instrText>
      </w:r>
      <w:r w:rsidR="00352E92">
        <w:fldChar w:fldCharType="end"/>
      </w:r>
      <w:r w:rsidR="0007042F">
        <w:t>.</w:t>
      </w:r>
      <w:r w:rsidR="0033175A">
        <w:t xml:space="preserve"> And w</w:t>
      </w:r>
      <w:r w:rsidR="00702103">
        <w:t xml:space="preserve">hen an “order granting or denying a preliminary injunction will have consequences beyond the immediate parties,” courts must also consider the public interest in granting a stay of that injunction. </w:t>
      </w:r>
      <w:r w:rsidR="0007042F" w:rsidRPr="0079752D">
        <w:rPr>
          <w:i/>
          <w:iCs/>
        </w:rPr>
        <w:t>Roland Mach. Co. v. Dresser Indus., Inc.</w:t>
      </w:r>
      <w:r w:rsidR="0007042F">
        <w:t>, 749 F.2d 380, 388 (7th Cir. 1984)</w:t>
      </w:r>
      <w:r w:rsidR="00352E92">
        <w:fldChar w:fldCharType="begin"/>
      </w:r>
      <w:r w:rsidR="00352E92">
        <w:instrText xml:space="preserve"> TA \l "</w:instrText>
      </w:r>
      <w:r w:rsidR="00352E92" w:rsidRPr="005B0A1E">
        <w:rPr>
          <w:i/>
          <w:iCs/>
        </w:rPr>
        <w:instrText>Roland Mach. Co. v. Dresser Indus., Inc.</w:instrText>
      </w:r>
      <w:r w:rsidR="00352E92" w:rsidRPr="005B0A1E">
        <w:instrText>, 749 F.2d 380 (7th Cir. 1984)</w:instrText>
      </w:r>
      <w:r w:rsidR="00352E92">
        <w:instrText xml:space="preserve">" \s "Roland Mach. Co. v. Dresser Indus., Inc., 749 F.2d 380 (7th Cir. 1984)" \c 1 </w:instrText>
      </w:r>
      <w:r w:rsidR="00352E92">
        <w:fldChar w:fldCharType="end"/>
      </w:r>
      <w:r w:rsidR="0007042F">
        <w:t>.</w:t>
      </w:r>
    </w:p>
    <w:p w14:paraId="3E36678C" w14:textId="5AB5B037" w:rsidR="00AE7BEE" w:rsidRPr="00984DE7" w:rsidRDefault="00BC7F9F" w:rsidP="00C73CE0">
      <w:pPr>
        <w:pStyle w:val="Heading2"/>
      </w:pPr>
      <w:bookmarkStart w:id="6" w:name="_Toc162953747"/>
      <w:r w:rsidRPr="00984DE7">
        <w:t>Movants Can</w:t>
      </w:r>
      <w:r w:rsidR="001B5F9E" w:rsidRPr="00984DE7">
        <w:t xml:space="preserve">not Show Any Harm </w:t>
      </w:r>
      <w:r w:rsidR="0060226F" w:rsidRPr="00984DE7">
        <w:t xml:space="preserve">from </w:t>
      </w:r>
      <w:r w:rsidR="001B5F9E" w:rsidRPr="00984DE7">
        <w:t>the Preliminary Injunction</w:t>
      </w:r>
      <w:bookmarkEnd w:id="6"/>
    </w:p>
    <w:p w14:paraId="3ADF9648" w14:textId="445F9619" w:rsidR="00EC0967" w:rsidRDefault="00EC0967" w:rsidP="001478C1">
      <w:pPr>
        <w:pStyle w:val="BriefText"/>
      </w:pPr>
      <w:r>
        <w:t xml:space="preserve">Two parties, or groups of parties, have moved for a stay </w:t>
      </w:r>
      <w:r w:rsidR="001320EC">
        <w:t xml:space="preserve">of the preliminary injunction </w:t>
      </w:r>
      <w:r>
        <w:t xml:space="preserve">pending appeal. First, the </w:t>
      </w:r>
      <w:r w:rsidR="00047C02">
        <w:t xml:space="preserve">County Clerks for Atlantic, Bergen, Camden, Cape May, Cumberland, Essex, Gloucester, Hunterdon, Mercer, Middlesex, Monmouth, Morris, Passaic, Somerset, and Union </w:t>
      </w:r>
      <w:r w:rsidR="00A34229">
        <w:t>C</w:t>
      </w:r>
      <w:r w:rsidR="00047C02">
        <w:t>ounties (collectively, the “County Clerks”).</w:t>
      </w:r>
      <w:r w:rsidR="00A34229">
        <w:t xml:space="preserve"> The County Clerks for Ocean, Salem, Sussex, and Warren Counties have declined to file or participate in this appeal, and the County Clerks for Burlington and </w:t>
      </w:r>
      <w:r w:rsidR="00A138B4">
        <w:t>Hudson</w:t>
      </w:r>
      <w:r w:rsidR="00A34229">
        <w:t xml:space="preserve"> Counties have since withdrawn their respective appeals. </w:t>
      </w:r>
      <w:r w:rsidR="00C40C3F">
        <w:t xml:space="preserve">(ECF Nos. 208, 209). </w:t>
      </w:r>
      <w:r w:rsidR="00A46748">
        <w:rPr>
          <w:szCs w:val="24"/>
        </w:rPr>
        <w:t xml:space="preserve">And second, the </w:t>
      </w:r>
      <w:r w:rsidR="00A46748">
        <w:t>Camden County Democratic Committee (“CCDC</w:t>
      </w:r>
      <w:r w:rsidR="00C40C3F">
        <w:t>”) also has moved for a stay of the preliminary injunction.</w:t>
      </w:r>
    </w:p>
    <w:p w14:paraId="3234E695" w14:textId="12FCC817" w:rsidR="00BD50F9" w:rsidRDefault="00DD518D" w:rsidP="00A156D6">
      <w:pPr>
        <w:pStyle w:val="BriefText"/>
      </w:pPr>
      <w:r>
        <w:t>The County Clerks cannot demonstrate any harm, much less any irreparable harm. Indeed, the only harm identified by them is speculative at best but could more accurately be described as an inconvenience.</w:t>
      </w:r>
      <w:r w:rsidR="00596D39">
        <w:t xml:space="preserve"> For example, Christine Giordano </w:t>
      </w:r>
      <w:r w:rsidR="00596D39">
        <w:lastRenderedPageBreak/>
        <w:t xml:space="preserve">Hanlon, the Monmouth County Clerk, provided hearsay testimony </w:t>
      </w:r>
      <w:r w:rsidR="00B4529D">
        <w:t xml:space="preserve">that a printer used by Monmouth County informed her that using an office-block ballot style for the primary was “unchartered territory.” (Tr. 359:4-23). Of course, even assuming </w:t>
      </w:r>
      <w:r w:rsidR="00B4529D" w:rsidRPr="00B4529D">
        <w:rPr>
          <w:i/>
          <w:iCs/>
        </w:rPr>
        <w:t>arguendo</w:t>
      </w:r>
      <w:r w:rsidR="00B4529D">
        <w:t xml:space="preserve"> that this is true, </w:t>
      </w:r>
      <w:r w:rsidR="00C424B1">
        <w:t xml:space="preserve">being in </w:t>
      </w:r>
      <w:r w:rsidR="00B4529D">
        <w:t xml:space="preserve">unchartered territory </w:t>
      </w:r>
      <w:r w:rsidR="00C424B1">
        <w:t>does not, without more, constitute irreparable harm. It simply signals that New Jersey should—heaven forbid—evolve with the times, as every other state has done</w:t>
      </w:r>
      <w:r w:rsidR="00F770EE">
        <w:t xml:space="preserve">. But it critically </w:t>
      </w:r>
      <w:r w:rsidR="007E742A">
        <w:t>does not mean that it is impossible for Monmouth County to comply.</w:t>
      </w:r>
      <w:r w:rsidR="00A156D6">
        <w:t xml:space="preserve"> </w:t>
      </w:r>
      <w:r w:rsidR="00600FBC">
        <w:t xml:space="preserve">Similarly, Ms. Hanlon testified that she had another hearsay conversation with </w:t>
      </w:r>
      <w:proofErr w:type="gramStart"/>
      <w:r w:rsidR="00600FBC">
        <w:t>a</w:t>
      </w:r>
      <w:proofErr w:type="gramEnd"/>
      <w:r w:rsidR="00600FBC">
        <w:t xml:space="preserve"> unnamed representative of Election Systems &amp; Software (“ES&amp;S”) about changing the ballot style, and they responded that “No, that would be bad.” (Tr. 361:25-362:24). </w:t>
      </w:r>
      <w:r w:rsidR="00103E4B" w:rsidRPr="00103E4B">
        <w:t>Even if the Court were to consider such hearsay testimony</w:t>
      </w:r>
      <w:r w:rsidR="00103E4B">
        <w:t>—</w:t>
      </w:r>
      <w:r w:rsidR="00103E4B" w:rsidRPr="00103E4B">
        <w:t>which it should not</w:t>
      </w:r>
      <w:r w:rsidR="00BD50F9">
        <w:t>—</w:t>
      </w:r>
      <w:r w:rsidR="00103E4B" w:rsidRPr="00103E4B">
        <w:t xml:space="preserve">the statement lacks any evidentiary value. </w:t>
      </w:r>
      <w:r w:rsidR="00BD50F9">
        <w:t>Simply being “bad,” whatever that means, has no relevance on if it is possible to comply with the District Court’s order.</w:t>
      </w:r>
      <w:r w:rsidR="00A156D6">
        <w:t xml:space="preserve"> </w:t>
      </w:r>
      <w:r w:rsidR="00A156D6">
        <w:t>That is what the District Court also held, stating that Ms. Hanlon’s “testimony appeared to be based more on speculation than fact,” as “saying she was not sure [the change in ballot designs] could be done” does not rebut expert testimony showing that a change in ballot designs unquestionably can be done, and fast. (ECF No. 194, pg. 27).</w:t>
      </w:r>
    </w:p>
    <w:p w14:paraId="177D5780" w14:textId="64CD474B" w:rsidR="007966AB" w:rsidRDefault="00600FBC" w:rsidP="001478C1">
      <w:pPr>
        <w:pStyle w:val="BriefText"/>
        <w:rPr>
          <w:szCs w:val="24"/>
        </w:rPr>
      </w:pPr>
      <w:r>
        <w:t xml:space="preserve">The County Clerks cite these examples as being some type of proof of the type of irreparable harm that they will suffer if a stay is not issued. </w:t>
      </w:r>
      <w:r w:rsidR="001218ED">
        <w:rPr>
          <w:szCs w:val="24"/>
        </w:rPr>
        <w:t>(Document 10, pg. 11)</w:t>
      </w:r>
      <w:r>
        <w:rPr>
          <w:szCs w:val="24"/>
        </w:rPr>
        <w:t xml:space="preserve">. If the Court is wondering what the connection is between these distressingly vague statements by </w:t>
      </w:r>
      <w:r w:rsidR="0094607A">
        <w:rPr>
          <w:szCs w:val="24"/>
        </w:rPr>
        <w:t>third parties</w:t>
      </w:r>
      <w:r>
        <w:rPr>
          <w:szCs w:val="24"/>
        </w:rPr>
        <w:t xml:space="preserve"> and the irreparable harm that would be suffered by the County Clerks, </w:t>
      </w:r>
      <w:r w:rsidRPr="00600FBC">
        <w:rPr>
          <w:i/>
          <w:iCs/>
          <w:szCs w:val="24"/>
        </w:rPr>
        <w:t>amici</w:t>
      </w:r>
      <w:r>
        <w:rPr>
          <w:szCs w:val="24"/>
        </w:rPr>
        <w:t xml:space="preserve"> would say that the Court is not alone: the County Clerks never explain how they are harmed, in any way, by the preliminary injunction</w:t>
      </w:r>
      <w:r w:rsidR="00D2353D">
        <w:rPr>
          <w:szCs w:val="24"/>
        </w:rPr>
        <w:t xml:space="preserve">, and so they </w:t>
      </w:r>
      <w:r w:rsidR="00D2353D">
        <w:rPr>
          <w:szCs w:val="24"/>
        </w:rPr>
        <w:lastRenderedPageBreak/>
        <w:t>cannot possibly meet this element required to obtain a stay pending appeal.</w:t>
      </w:r>
      <w:r w:rsidR="005E16A6">
        <w:rPr>
          <w:szCs w:val="24"/>
        </w:rPr>
        <w:t xml:space="preserve"> The County Clerks’ argument in this respect boils down to </w:t>
      </w:r>
      <w:r w:rsidR="00526ABD">
        <w:rPr>
          <w:szCs w:val="24"/>
        </w:rPr>
        <w:t>the state’s</w:t>
      </w:r>
      <w:r w:rsidR="005E16A6">
        <w:rPr>
          <w:szCs w:val="24"/>
        </w:rPr>
        <w:t xml:space="preserve"> interest in “providing a manageable and understandable ballot, and ensuring an orderly election process,”</w:t>
      </w:r>
      <w:r w:rsidR="0081337F">
        <w:rPr>
          <w:szCs w:val="24"/>
        </w:rPr>
        <w:t xml:space="preserve"> (Document 10, pg. 17)</w:t>
      </w:r>
      <w:r w:rsidR="005E16A6">
        <w:rPr>
          <w:szCs w:val="24"/>
        </w:rPr>
        <w:t>, but they fail to explain why a ballot design used in 49 states cannot be presumptively viewed as manageable and understandable.</w:t>
      </w:r>
      <w:r w:rsidR="008D1FC4">
        <w:rPr>
          <w:rStyle w:val="FootnoteReference"/>
          <w:szCs w:val="24"/>
        </w:rPr>
        <w:footnoteReference w:id="3"/>
      </w:r>
    </w:p>
    <w:p w14:paraId="111BBFC6" w14:textId="47133BA4" w:rsidR="0094670B" w:rsidRDefault="00050293" w:rsidP="00A46748">
      <w:pPr>
        <w:pStyle w:val="BriefText"/>
      </w:pPr>
      <w:r>
        <w:rPr>
          <w:szCs w:val="24"/>
        </w:rPr>
        <w:t xml:space="preserve">In fact, the County Clerks cite to “evidence </w:t>
      </w:r>
      <w:r w:rsidRPr="00050293">
        <w:rPr>
          <w:szCs w:val="24"/>
        </w:rPr>
        <w:t>ES&amp;S and Dominion, the two</w:t>
      </w:r>
      <w:r>
        <w:rPr>
          <w:szCs w:val="24"/>
        </w:rPr>
        <w:t xml:space="preserve"> </w:t>
      </w:r>
      <w:r w:rsidRPr="00050293">
        <w:rPr>
          <w:szCs w:val="24"/>
        </w:rPr>
        <w:t>companies providing voting machines and ballot-counting software to New Jersey</w:t>
      </w:r>
      <w:r>
        <w:rPr>
          <w:szCs w:val="24"/>
        </w:rPr>
        <w:t xml:space="preserve"> </w:t>
      </w:r>
      <w:r w:rsidRPr="00050293">
        <w:rPr>
          <w:szCs w:val="24"/>
        </w:rPr>
        <w:t>counties, cannot process the multi-column and/or multi-page office-block ballots that</w:t>
      </w:r>
      <w:r>
        <w:rPr>
          <w:szCs w:val="24"/>
        </w:rPr>
        <w:t xml:space="preserve"> </w:t>
      </w:r>
      <w:r w:rsidRPr="00050293">
        <w:rPr>
          <w:szCs w:val="24"/>
        </w:rPr>
        <w:t>the Injunction may require.</w:t>
      </w:r>
      <w:r>
        <w:rPr>
          <w:szCs w:val="24"/>
        </w:rPr>
        <w:t xml:space="preserve">” </w:t>
      </w:r>
      <w:r w:rsidR="00E60863">
        <w:rPr>
          <w:szCs w:val="24"/>
        </w:rPr>
        <w:t>(Document 10, pg. 16)</w:t>
      </w:r>
      <w:r>
        <w:rPr>
          <w:szCs w:val="24"/>
        </w:rPr>
        <w:t xml:space="preserve">. But this “evidence” is significantly undercut, if not completely eviscerated, by the actions of the Burlington, </w:t>
      </w:r>
      <w:r w:rsidR="00A138B4">
        <w:rPr>
          <w:szCs w:val="24"/>
        </w:rPr>
        <w:t>Hudson</w:t>
      </w:r>
      <w:r>
        <w:rPr>
          <w:szCs w:val="24"/>
        </w:rPr>
        <w:t xml:space="preserve">, Ocean, Salem, Sussex, and Warren County Clerks, who either failed to appeal or have withdrawn their appeals. Notably, Burlington </w:t>
      </w:r>
      <w:r w:rsidR="00A138B4">
        <w:rPr>
          <w:szCs w:val="24"/>
        </w:rPr>
        <w:t>uses Dominion</w:t>
      </w:r>
      <w:r w:rsidR="009F519B">
        <w:rPr>
          <w:szCs w:val="24"/>
        </w:rPr>
        <w:t>,</w:t>
      </w:r>
      <w:r w:rsidR="00A138B4">
        <w:rPr>
          <w:szCs w:val="24"/>
        </w:rPr>
        <w:t xml:space="preserve"> and Hudson</w:t>
      </w:r>
      <w:r w:rsidR="00AF5072">
        <w:rPr>
          <w:szCs w:val="24"/>
        </w:rPr>
        <w:t xml:space="preserve">—which has the fourth-most registered members of the Democratic Party of any county—uses ES&amp;S. </w:t>
      </w:r>
      <w:r w:rsidR="003A6DD3">
        <w:rPr>
          <w:szCs w:val="24"/>
        </w:rPr>
        <w:t>(ECF No. 95, pg. 76)</w:t>
      </w:r>
      <w:r w:rsidR="00AF5072">
        <w:rPr>
          <w:szCs w:val="24"/>
        </w:rPr>
        <w:t>. As these County Clerks apparently believe that they will be able to comply with the District Court’s injunction, it is not credible to believe that the other County Clerks cannot do so as well.</w:t>
      </w:r>
    </w:p>
    <w:p w14:paraId="37EB0201" w14:textId="46D285E4" w:rsidR="005D208B" w:rsidRDefault="003F27D2" w:rsidP="00A46748">
      <w:pPr>
        <w:pStyle w:val="BriefText"/>
      </w:pPr>
      <w:r>
        <w:t xml:space="preserve">It is also worth noting that the County Clerks, despite their posturing in this application, are </w:t>
      </w:r>
      <w:r w:rsidR="0037507A">
        <w:t xml:space="preserve">already taking </w:t>
      </w:r>
      <w:r>
        <w:t xml:space="preserve">the </w:t>
      </w:r>
      <w:r w:rsidR="0037507A">
        <w:t>steps</w:t>
      </w:r>
      <w:r>
        <w:t xml:space="preserve"> necessary to comply with the District </w:t>
      </w:r>
      <w:r>
        <w:lastRenderedPageBreak/>
        <w:t>Court’s order, and there is little reason to believe that they will not be able to do so</w:t>
      </w:r>
      <w:r w:rsidR="0037507A">
        <w:t>.</w:t>
      </w:r>
      <w:r>
        <w:t xml:space="preserve"> In fact,</w:t>
      </w:r>
      <w:r w:rsidR="0037507A">
        <w:t xml:space="preserve"> </w:t>
      </w:r>
      <w:r>
        <w:t xml:space="preserve">Christopher J. </w:t>
      </w:r>
      <w:r w:rsidR="005D208B">
        <w:t xml:space="preserve">Durkin, the Essex County Clerk, </w:t>
      </w:r>
      <w:r>
        <w:t xml:space="preserve">recently </w:t>
      </w:r>
      <w:r w:rsidR="005D208B">
        <w:t>tweeted:</w:t>
      </w:r>
      <w:r w:rsidR="002F16D0">
        <w:rPr>
          <w:rStyle w:val="FootnoteReference"/>
        </w:rPr>
        <w:footnoteReference w:id="4"/>
      </w:r>
    </w:p>
    <w:p w14:paraId="2CA07B8D" w14:textId="668C8584" w:rsidR="005D208B" w:rsidRPr="00AE7BEE" w:rsidRDefault="005D208B" w:rsidP="00A9208F">
      <w:pPr>
        <w:pStyle w:val="BlockQuote"/>
      </w:pPr>
      <w:r w:rsidRPr="005D208B">
        <w:t xml:space="preserve">I am in favor of block ballot voting. I am confident Essex County will conduct a fair and free </w:t>
      </w:r>
      <w:r w:rsidRPr="00A9208F">
        <w:t>election</w:t>
      </w:r>
      <w:r w:rsidRPr="005D208B">
        <w:t>. Our ballots will be clear and concise to voters. The voting systems we have in Essex County are the best in New Jersey.</w:t>
      </w:r>
    </w:p>
    <w:p w14:paraId="1728CF64" w14:textId="50E368D0" w:rsidR="00A34229" w:rsidRDefault="00345A1D" w:rsidP="00345A1D">
      <w:pPr>
        <w:pStyle w:val="BriefText"/>
        <w:spacing w:before="280" w:line="280" w:lineRule="exact"/>
        <w:ind w:firstLine="0"/>
        <w:jc w:val="left"/>
      </w:pPr>
      <w:r>
        <w:t>Chris Durkin (@Chris</w:t>
      </w:r>
      <w:r w:rsidR="0054744A">
        <w:t>J</w:t>
      </w:r>
      <w:r>
        <w:t xml:space="preserve">Durkin), Twitter (Mar. 31, 2024, 9:37 PM), </w:t>
      </w:r>
      <w:hyperlink r:id="rId14" w:history="1">
        <w:r w:rsidRPr="00DB0A18">
          <w:rPr>
            <w:rStyle w:val="Hyperlink"/>
          </w:rPr>
          <w:t>https://twitter.com/ChrisJDurkin/status/1774612051970638150</w:t>
        </w:r>
      </w:hyperlink>
      <w:r w:rsidR="007919B7">
        <w:t>.</w:t>
      </w:r>
    </w:p>
    <w:p w14:paraId="24E5F70E" w14:textId="4371D313" w:rsidR="005D208B" w:rsidRDefault="005D208B" w:rsidP="001478C1">
      <w:pPr>
        <w:pStyle w:val="BriefText"/>
      </w:pPr>
      <w:r>
        <w:t xml:space="preserve">While Mr. Durkin subsequently tweeted that some unidentified County Clerks are “concerned” regarding “their systems’ ability to conduct such an election in time with the federal deadlines,” </w:t>
      </w:r>
      <w:r w:rsidR="00C92E78">
        <w:t>the plain implication of his first tweet was that it would be done if needed</w:t>
      </w:r>
      <w:r w:rsidR="00567ECD">
        <w:t>,</w:t>
      </w:r>
      <w:r w:rsidR="00C92E78">
        <w:t xml:space="preserve"> and </w:t>
      </w:r>
      <w:r w:rsidR="00567ECD">
        <w:t xml:space="preserve">that it would be </w:t>
      </w:r>
      <w:r w:rsidR="00C92E78">
        <w:t>done in a “clear and concise” manner.</w:t>
      </w:r>
    </w:p>
    <w:p w14:paraId="36467296" w14:textId="42A41BBB" w:rsidR="00567ECD" w:rsidRDefault="00567ECD" w:rsidP="001478C1">
      <w:pPr>
        <w:pStyle w:val="BriefText"/>
      </w:pPr>
      <w:r>
        <w:t xml:space="preserve">Similarly, Paula </w:t>
      </w:r>
      <w:r w:rsidR="002F16D0">
        <w:t xml:space="preserve">Sollami Covello, the Mercer County Clerk, tweeted that </w:t>
      </w:r>
      <w:r w:rsidR="007919B7">
        <w:t xml:space="preserve">while she would refrain from further comment due to the ongoing litigation, </w:t>
      </w:r>
      <w:r w:rsidR="00192AF8">
        <w:t xml:space="preserve">Mercer County “is also  currently preparing as best as possible to comply with [the District Court’s] order.” </w:t>
      </w:r>
      <w:r w:rsidR="00BA36BC">
        <w:t xml:space="preserve">Paula Sollami Covello (@MercerClerk), Twitter (Apr. 1, 2024, 2:34 PM), </w:t>
      </w:r>
      <w:hyperlink r:id="rId15" w:history="1">
        <w:r w:rsidR="00BA36BC" w:rsidRPr="00DB0A18">
          <w:rPr>
            <w:rStyle w:val="Hyperlink"/>
          </w:rPr>
          <w:t>https://twitter.com/MercerClerk/status/1774867850542395439</w:t>
        </w:r>
      </w:hyperlink>
      <w:r w:rsidR="00192AF8">
        <w:t>.</w:t>
      </w:r>
      <w:r w:rsidR="00192AF8">
        <w:rPr>
          <w:rStyle w:val="FootnoteReference"/>
        </w:rPr>
        <w:footnoteReference w:id="5"/>
      </w:r>
    </w:p>
    <w:p w14:paraId="2ACDC8F9" w14:textId="36DE4818" w:rsidR="00E46D7A" w:rsidRPr="00E46D7A" w:rsidRDefault="00274E68" w:rsidP="00E46D7A">
      <w:pPr>
        <w:pStyle w:val="BriefText"/>
        <w:rPr>
          <w:szCs w:val="24"/>
        </w:rPr>
      </w:pPr>
      <w:r>
        <w:lastRenderedPageBreak/>
        <w:t xml:space="preserve">Any harm to the County Clerks is therefore speculative at best and likely monetary at worst, should they have to pay more money to their election systems vender, </w:t>
      </w:r>
      <w:r w:rsidR="00C80C67">
        <w:rPr>
          <w:szCs w:val="24"/>
        </w:rPr>
        <w:t>(ECF No. 60-1, ¶ 22, stating that compliance would “likely” require the use of a vendor, “which will incur additional costs”)</w:t>
      </w:r>
      <w:r>
        <w:rPr>
          <w:szCs w:val="24"/>
        </w:rPr>
        <w:t xml:space="preserve">, or </w:t>
      </w:r>
      <w:r w:rsidRPr="00962D75">
        <w:rPr>
          <w:szCs w:val="24"/>
        </w:rPr>
        <w:t>printer</w:t>
      </w:r>
      <w:r>
        <w:rPr>
          <w:szCs w:val="24"/>
        </w:rPr>
        <w:t>,</w:t>
      </w:r>
      <w:r w:rsidR="00412405">
        <w:rPr>
          <w:szCs w:val="24"/>
        </w:rPr>
        <w:t xml:space="preserve"> (Tr. 366:1-5, indicating that there was an indeterminate cost associated with the change to the ballot design)</w:t>
      </w:r>
      <w:r>
        <w:rPr>
          <w:szCs w:val="24"/>
        </w:rPr>
        <w:t>.</w:t>
      </w:r>
      <w:r w:rsidR="00EA0216">
        <w:rPr>
          <w:szCs w:val="24"/>
        </w:rPr>
        <w:t xml:space="preserve"> That is why perhaps the most curious and telling omission from the County Clerks’ submission is any reference to the admission of their own printer, David Passante, who acknowledged</w:t>
      </w:r>
      <w:r w:rsidR="00E46D7A">
        <w:rPr>
          <w:szCs w:val="24"/>
        </w:rPr>
        <w:t xml:space="preserve"> that he could “one hundred percent” find a way to get it done. (</w:t>
      </w:r>
      <w:r w:rsidR="00E46D7A" w:rsidRPr="00E46D7A">
        <w:t>Tr. 282:</w:t>
      </w:r>
      <w:r w:rsidR="00E46D7A">
        <w:t>12-</w:t>
      </w:r>
      <w:r w:rsidR="00E46D7A" w:rsidRPr="00E46D7A">
        <w:t>283:5)</w:t>
      </w:r>
      <w:r w:rsidR="00E46D7A">
        <w:t>.</w:t>
      </w:r>
    </w:p>
    <w:p w14:paraId="1644F121" w14:textId="58949F03" w:rsidR="00063791" w:rsidRDefault="007B5DD0" w:rsidP="00E402F7">
      <w:pPr>
        <w:pStyle w:val="BriefText"/>
      </w:pPr>
      <w:r>
        <w:t xml:space="preserve">Similarly, the CCDC’s </w:t>
      </w:r>
      <w:r w:rsidR="00160B93">
        <w:t>cannot make any claim of irreparable harm, nor do they even bother to try</w:t>
      </w:r>
      <w:r w:rsidR="00681713">
        <w:t>.</w:t>
      </w:r>
      <w:r w:rsidR="00681713">
        <w:rPr>
          <w:rStyle w:val="FootnoteReference"/>
        </w:rPr>
        <w:footnoteReference w:id="6"/>
      </w:r>
      <w:r w:rsidR="00160B93">
        <w:t xml:space="preserve"> Indeed, the word “harm” does not appear even once in their </w:t>
      </w:r>
      <w:r w:rsidR="00160B93">
        <w:lastRenderedPageBreak/>
        <w:t>brief</w:t>
      </w:r>
      <w:r w:rsidR="00063791">
        <w:t>. That</w:t>
      </w:r>
      <w:r w:rsidR="005C7D95">
        <w:t xml:space="preserve"> </w:t>
      </w:r>
      <w:r w:rsidR="00063791">
        <w:t>is because the CCDC cannot show any peculiarized harm that they will suffe</w:t>
      </w:r>
      <w:r w:rsidR="00E91F8D">
        <w:t>r</w:t>
      </w:r>
      <w:r w:rsidR="00063791">
        <w:t xml:space="preserve">, </w:t>
      </w:r>
      <w:r w:rsidR="00E91F8D">
        <w:t xml:space="preserve">since </w:t>
      </w:r>
      <w:r w:rsidR="00063791">
        <w:t>the CCDC will still retain the right to associate with candidates of their choosing by and through the awarding of their slogan. (Tr. 61:8-23).</w:t>
      </w:r>
    </w:p>
    <w:p w14:paraId="533DC2A5" w14:textId="5F4B7D37" w:rsidR="00015293" w:rsidRDefault="00015293" w:rsidP="00E402F7">
      <w:pPr>
        <w:pStyle w:val="BriefText"/>
      </w:pPr>
      <w:r>
        <w:t>Since neither the County Clerks nor the CCDC can show any type of harm to them by a denial of their application for a stay pending appeal, it must be denied.</w:t>
      </w:r>
    </w:p>
    <w:p w14:paraId="5C9F207A" w14:textId="2E139A19" w:rsidR="0084686D" w:rsidRPr="003F0D8F" w:rsidRDefault="00883380" w:rsidP="00C73CE0">
      <w:pPr>
        <w:pStyle w:val="Heading2"/>
      </w:pPr>
      <w:bookmarkStart w:id="7" w:name="_Toc162953748"/>
      <w:r>
        <w:t>Balancing of the Harms and the Public Interest Lean Toward Plaintiffs</w:t>
      </w:r>
      <w:bookmarkEnd w:id="7"/>
    </w:p>
    <w:p w14:paraId="216D27DD" w14:textId="2A41E6DF" w:rsidR="001353E7" w:rsidRDefault="001353E7" w:rsidP="00141ECA">
      <w:pPr>
        <w:pStyle w:val="BriefText"/>
      </w:pPr>
      <w:r>
        <w:t xml:space="preserve">At best, the County Clerks and CCDC have argued that they will be inconvenienced by the District Court’s decision. It should go without saying, and yet we will say anyway, that </w:t>
      </w:r>
      <w:r w:rsidR="003C1DBE">
        <w:t xml:space="preserve">an inconvenience </w:t>
      </w:r>
      <w:r>
        <w:t>does not meet the irreparable harm standard required to issue the extraordinary relief that is a stay pending appeal.</w:t>
      </w:r>
    </w:p>
    <w:p w14:paraId="30245E42" w14:textId="77777777" w:rsidR="005D1565" w:rsidRDefault="00D45EA3" w:rsidP="00141ECA">
      <w:pPr>
        <w:pStyle w:val="BriefText"/>
      </w:pPr>
      <w:r>
        <w:t>In context, then, there</w:t>
      </w:r>
      <w:r w:rsidR="003F0D8F">
        <w:t xml:space="preserve"> is simply no comparison when weighing the harms between the movants and either the plaintiffs or </w:t>
      </w:r>
      <w:r w:rsidR="003F0D8F" w:rsidRPr="003F0D8F">
        <w:rPr>
          <w:i/>
          <w:iCs/>
        </w:rPr>
        <w:t>amici</w:t>
      </w:r>
      <w:r w:rsidR="003F0D8F">
        <w:t xml:space="preserve">. </w:t>
      </w:r>
      <w:r w:rsidR="00141ECA">
        <w:t xml:space="preserve">Plaintiffs </w:t>
      </w:r>
      <w:r w:rsidR="00744C46">
        <w:t xml:space="preserve">have ably argued, and continue to argue, that they will be irreparably harmed should a stay be </w:t>
      </w:r>
      <w:r w:rsidR="007B3D38">
        <w:t>granted,</w:t>
      </w:r>
      <w:r w:rsidR="00063CC4">
        <w:t xml:space="preserve"> and the county line system used again</w:t>
      </w:r>
      <w:r w:rsidR="005D1565">
        <w:t>, and the District Court found that they met this burden in multiple respects. (ECF No. 194, pgs. 35-41).</w:t>
      </w:r>
    </w:p>
    <w:p w14:paraId="48E6DBCE" w14:textId="7D699E59" w:rsidR="00AE6325" w:rsidRDefault="00141ECA" w:rsidP="00141ECA">
      <w:pPr>
        <w:pStyle w:val="BriefText"/>
      </w:pPr>
      <w:r>
        <w:t xml:space="preserve">But </w:t>
      </w:r>
      <w:r w:rsidR="00D749EA">
        <w:t>plaintiffs</w:t>
      </w:r>
      <w:r>
        <w:t xml:space="preserve"> are not </w:t>
      </w:r>
      <w:r w:rsidRPr="00AE7BEE">
        <w:t>the</w:t>
      </w:r>
      <w:r>
        <w:t xml:space="preserve"> only </w:t>
      </w:r>
      <w:r w:rsidR="00D749EA">
        <w:t xml:space="preserve">candidates </w:t>
      </w:r>
      <w:r>
        <w:t xml:space="preserve">harmed here: that harm extends to </w:t>
      </w:r>
      <w:r w:rsidR="00AE6325">
        <w:t>every candidate</w:t>
      </w:r>
      <w:r>
        <w:t xml:space="preserve"> not selected by the</w:t>
      </w:r>
      <w:r w:rsidR="00AE6325">
        <w:t>ir</w:t>
      </w:r>
      <w:r>
        <w:t xml:space="preserve"> respective county leaders</w:t>
      </w:r>
      <w:r w:rsidR="00AE6325">
        <w:t xml:space="preserve"> and given preferential placement on the county line</w:t>
      </w:r>
      <w:r w:rsidR="00D749EA">
        <w:t>.</w:t>
      </w:r>
      <w:r w:rsidR="00AE6325">
        <w:t xml:space="preserve"> </w:t>
      </w:r>
      <w:r w:rsidR="00D749EA">
        <w:t>E</w:t>
      </w:r>
      <w:r w:rsidR="00AE6325">
        <w:t xml:space="preserve">ven those who </w:t>
      </w:r>
      <w:r w:rsidR="00D749EA">
        <w:t xml:space="preserve">do receive the line may be harmed when it </w:t>
      </w:r>
      <w:r w:rsidR="00AE6325">
        <w:t>means they cannot associate with other like-minded candidates</w:t>
      </w:r>
      <w:r w:rsidR="00D749EA">
        <w:t xml:space="preserve"> or when they are forced to associate with those with whom they do not want to be connected to, simply so they can get preferential ballot placement</w:t>
      </w:r>
      <w:r>
        <w:t>.</w:t>
      </w:r>
      <w:r w:rsidR="00D749EA">
        <w:t xml:space="preserve"> As plaintiffs demonstrated by way of expert testimony, “the impact on a candidate who fails to secure the county line or the first ballot position is consequential,” and failure to receive either one will </w:t>
      </w:r>
      <w:r w:rsidR="00D749EA">
        <w:lastRenderedPageBreak/>
        <w:t>always negatively impact candidates by anywhere between 3.9 percentage points to 27.8 percentage points, a substantial difference. (ECF No. 194, pgs. 37-38).</w:t>
      </w:r>
    </w:p>
    <w:p w14:paraId="09356A6E" w14:textId="5F09CD21" w:rsidR="00AE6325" w:rsidRDefault="00FC013B" w:rsidP="00141ECA">
      <w:pPr>
        <w:pStyle w:val="BriefText"/>
      </w:pPr>
      <w:r w:rsidRPr="00FC013B">
        <w:rPr>
          <w:i/>
          <w:iCs/>
        </w:rPr>
        <w:t>Amici</w:t>
      </w:r>
      <w:r>
        <w:t xml:space="preserve"> are in a similar boat </w:t>
      </w:r>
      <w:r w:rsidR="00413B67">
        <w:t>as</w:t>
      </w:r>
      <w:r>
        <w:t xml:space="preserve"> </w:t>
      </w:r>
      <w:r w:rsidR="00155753">
        <w:t>Plaintiffs Schoengood and Rush</w:t>
      </w:r>
      <w:r>
        <w:t xml:space="preserve">, </w:t>
      </w:r>
      <w:r w:rsidR="00155753">
        <w:t xml:space="preserve">and </w:t>
      </w:r>
      <w:r>
        <w:t xml:space="preserve">in a worse position </w:t>
      </w:r>
      <w:r w:rsidR="00155753">
        <w:t xml:space="preserve">than Plaintiff Kim </w:t>
      </w:r>
      <w:r>
        <w:t>since they do not have the county lines in any county in which they appear.</w:t>
      </w:r>
      <w:r w:rsidR="003C2BEC">
        <w:t xml:space="preserve"> </w:t>
      </w:r>
      <w:r w:rsidR="003C2BEC" w:rsidRPr="00E71E1D">
        <w:t>Neither Mr. Bhalla nor Mr. Speziale are, on their own, entitled to even try for</w:t>
      </w:r>
      <w:r w:rsidR="000D771A" w:rsidRPr="00E71E1D">
        <w:t xml:space="preserve"> the</w:t>
      </w:r>
      <w:r w:rsidR="003C2BEC" w:rsidRPr="00E71E1D">
        <w:t xml:space="preserve"> top ballot position</w:t>
      </w:r>
      <w:r w:rsidR="00933699">
        <w:t xml:space="preserve">, and without bracketing, are limited to </w:t>
      </w:r>
      <w:r w:rsidR="003C2BEC">
        <w:t xml:space="preserve">the fourth-best ballot position </w:t>
      </w:r>
      <w:r w:rsidR="00933699">
        <w:t xml:space="preserve">(at best) </w:t>
      </w:r>
      <w:r w:rsidR="003C2BEC">
        <w:t>since they are not candidates for the Senate.</w:t>
      </w:r>
      <w:r w:rsidR="00F845B4">
        <w:t xml:space="preserve"> And while candidates who are given the line do not need to do anything else other than submit their nominating petition paperwork, candidates who do not receive the line must spend considerable time, energy, and resources to build such a line.</w:t>
      </w:r>
    </w:p>
    <w:p w14:paraId="20FE54EF" w14:textId="77777777" w:rsidR="00394A58" w:rsidRDefault="0056118D" w:rsidP="00141ECA">
      <w:pPr>
        <w:pStyle w:val="BriefText"/>
      </w:pPr>
      <w:r>
        <w:t>It is worth noting that while the county line system results in inequitable benefits to the candidates who have received the line, it is also, in many instances, based upon an inequitable system by which the political parties select their chosen candidates.</w:t>
      </w:r>
    </w:p>
    <w:p w14:paraId="61A482A9" w14:textId="6FC22D46" w:rsidR="0056118D" w:rsidRDefault="0056118D" w:rsidP="00141ECA">
      <w:pPr>
        <w:pStyle w:val="BriefText"/>
      </w:pPr>
      <w:r>
        <w:t xml:space="preserve">In the case of Mr. Bhalla, </w:t>
      </w:r>
      <w:r w:rsidR="001A3775">
        <w:t xml:space="preserve">the </w:t>
      </w:r>
      <w:r w:rsidR="00B76814">
        <w:t xml:space="preserve">endorsement awarded by the </w:t>
      </w:r>
      <w:r w:rsidR="001A3775">
        <w:t xml:space="preserve">Hudson County Democratic </w:t>
      </w:r>
      <w:r w:rsidR="00B76814">
        <w:t xml:space="preserve">Organization that results in being given the county line is determined solely by the County Chairman, Anthony </w:t>
      </w:r>
      <w:proofErr w:type="spellStart"/>
      <w:r w:rsidR="00B76814">
        <w:t>Vainieri</w:t>
      </w:r>
      <w:proofErr w:type="spellEnd"/>
      <w:r w:rsidR="00B76814">
        <w:t>, Jr.</w:t>
      </w:r>
      <w:r w:rsidR="00394A58">
        <w:t xml:space="preserve"> </w:t>
      </w:r>
      <w:r w:rsidR="00394A58" w:rsidRPr="00394A58">
        <w:rPr>
          <w:i/>
          <w:iCs/>
        </w:rPr>
        <w:t>See</w:t>
      </w:r>
      <w:r w:rsidR="00394A58">
        <w:t xml:space="preserve"> David Wildstein, </w:t>
      </w:r>
      <w:r w:rsidR="00394A58" w:rsidRPr="00394A58">
        <w:rPr>
          <w:i/>
          <w:iCs/>
        </w:rPr>
        <w:t xml:space="preserve">As Judge Prepares to Decide Future of the Line, </w:t>
      </w:r>
      <w:proofErr w:type="spellStart"/>
      <w:r w:rsidR="00394A58" w:rsidRPr="00394A58">
        <w:rPr>
          <w:i/>
          <w:iCs/>
        </w:rPr>
        <w:t>Vainieri</w:t>
      </w:r>
      <w:proofErr w:type="spellEnd"/>
      <w:r w:rsidR="00394A58" w:rsidRPr="00394A58">
        <w:rPr>
          <w:i/>
          <w:iCs/>
        </w:rPr>
        <w:t xml:space="preserve"> Highlights ‘No Process’ Process</w:t>
      </w:r>
      <w:r w:rsidR="00394A58">
        <w:t xml:space="preserve">, </w:t>
      </w:r>
      <w:proofErr w:type="spellStart"/>
      <w:r w:rsidR="00394A58" w:rsidRPr="00394A58">
        <w:rPr>
          <w:smallCaps/>
        </w:rPr>
        <w:t>NewJerseyGlobe</w:t>
      </w:r>
      <w:proofErr w:type="spellEnd"/>
      <w:r w:rsidR="00394A58">
        <w:t xml:space="preserve">, </w:t>
      </w:r>
      <w:r w:rsidR="007848A8">
        <w:t>Mar.</w:t>
      </w:r>
      <w:r w:rsidR="007848A8">
        <w:t xml:space="preserve"> </w:t>
      </w:r>
      <w:r w:rsidR="00394A58">
        <w:t>15, 2024,</w:t>
      </w:r>
      <w:r w:rsidR="00B76814">
        <w:t xml:space="preserve"> </w:t>
      </w:r>
      <w:hyperlink r:id="rId16" w:history="1">
        <w:r w:rsidR="00394A58" w:rsidRPr="00D941DE">
          <w:rPr>
            <w:rStyle w:val="Hyperlink"/>
          </w:rPr>
          <w:t>https://newjerseyglobe.com/local/as-judge-prepares-to-decide-future-of-the-line-vainieri-highlights-no-process-process/</w:t>
        </w:r>
      </w:hyperlink>
      <w:r w:rsidR="00394A58">
        <w:t>.</w:t>
      </w:r>
    </w:p>
    <w:p w14:paraId="08D30ED4" w14:textId="036FB6BD" w:rsidR="00394A58" w:rsidRDefault="00394A58" w:rsidP="00141ECA">
      <w:pPr>
        <w:pStyle w:val="BriefText"/>
      </w:pPr>
      <w:r>
        <w:t xml:space="preserve">In the case of Mr. Speziale, he was offered the county line by the Passaic County Democratic Committee, but only if he agreed to allow the County Chairman, John Currie, to name the undersheriffs and make all personnel and financial decisions for the department. </w:t>
      </w:r>
      <w:r w:rsidRPr="00394A58">
        <w:rPr>
          <w:i/>
          <w:iCs/>
        </w:rPr>
        <w:t>See</w:t>
      </w:r>
      <w:r>
        <w:t xml:space="preserve"> David Wildstein, </w:t>
      </w:r>
      <w:r w:rsidRPr="00394A58">
        <w:rPr>
          <w:i/>
          <w:iCs/>
        </w:rPr>
        <w:t xml:space="preserve">Six Democrats Seek Party Backing for Passaic </w:t>
      </w:r>
      <w:r w:rsidRPr="00394A58">
        <w:rPr>
          <w:i/>
          <w:iCs/>
        </w:rPr>
        <w:lastRenderedPageBreak/>
        <w:t>Sheriff, But Speziale Isn’t One of Them</w:t>
      </w:r>
      <w:r>
        <w:t xml:space="preserve">, </w:t>
      </w:r>
      <w:proofErr w:type="spellStart"/>
      <w:r w:rsidRPr="00394A58">
        <w:rPr>
          <w:smallCaps/>
        </w:rPr>
        <w:t>NewJerseyGlobe</w:t>
      </w:r>
      <w:proofErr w:type="spellEnd"/>
      <w:r>
        <w:t xml:space="preserve">, </w:t>
      </w:r>
      <w:r w:rsidR="007848A8">
        <w:t>Mar.</w:t>
      </w:r>
      <w:r w:rsidR="007848A8">
        <w:t xml:space="preserve"> </w:t>
      </w:r>
      <w:r>
        <w:t xml:space="preserve">6, 2024, </w:t>
      </w:r>
      <w:hyperlink r:id="rId17" w:history="1">
        <w:r w:rsidRPr="00D941DE">
          <w:rPr>
            <w:rStyle w:val="Hyperlink"/>
          </w:rPr>
          <w:t>https://newjerseyglobe.com/local/six-democrats-seek-party-backing-for-passaic-sheriff-but-speziale-isnt-one-of-them/</w:t>
        </w:r>
      </w:hyperlink>
      <w:r>
        <w:t>.</w:t>
      </w:r>
    </w:p>
    <w:p w14:paraId="6B9F2B56" w14:textId="1E9DEE67" w:rsidR="007848A8" w:rsidRDefault="007848A8" w:rsidP="00141ECA">
      <w:pPr>
        <w:pStyle w:val="BriefText"/>
      </w:pPr>
      <w:r>
        <w:t xml:space="preserve">And in the case of Dr. Campos-Medina, her exclusion from the process is not just words, but was </w:t>
      </w:r>
      <w:proofErr w:type="gramStart"/>
      <w:r>
        <w:t>actually videotaped</w:t>
      </w:r>
      <w:proofErr w:type="gramEnd"/>
      <w:r>
        <w:t xml:space="preserve">. </w:t>
      </w:r>
      <w:r w:rsidR="0039284F">
        <w:t>Indeed, Dr. Campos-Medina was physically barred from attending the CCDC’s convention at which they awarded their line</w:t>
      </w:r>
      <w:r w:rsidR="0039284F">
        <w:t>.</w:t>
      </w:r>
      <w:r w:rsidR="0039284F" w:rsidRPr="007848A8">
        <w:rPr>
          <w:i/>
          <w:iCs/>
        </w:rPr>
        <w:t xml:space="preserve"> </w:t>
      </w:r>
      <w:r w:rsidRPr="007848A8">
        <w:rPr>
          <w:i/>
          <w:iCs/>
        </w:rPr>
        <w:t>See</w:t>
      </w:r>
      <w:r>
        <w:t xml:space="preserve"> Eric Kiefer, </w:t>
      </w:r>
      <w:r w:rsidRPr="007848A8">
        <w:rPr>
          <w:i/>
          <w:iCs/>
        </w:rPr>
        <w:t>NJ Senate Candidate Denied Entry at Democratic Convention</w:t>
      </w:r>
      <w:r>
        <w:t xml:space="preserve">, </w:t>
      </w:r>
      <w:r w:rsidRPr="007848A8">
        <w:rPr>
          <w:smallCaps/>
        </w:rPr>
        <w:t>Patch</w:t>
      </w:r>
      <w:r>
        <w:t xml:space="preserve">, Mar. 19, 2024, </w:t>
      </w:r>
      <w:hyperlink r:id="rId18" w:history="1">
        <w:r w:rsidRPr="00D941DE">
          <w:rPr>
            <w:rStyle w:val="Hyperlink"/>
          </w:rPr>
          <w:t>https://patch.com/new-jersey/newarknj/nj-senate-candidate-denied-entry-democratic-convention-video</w:t>
        </w:r>
      </w:hyperlink>
      <w:r>
        <w:t>.</w:t>
      </w:r>
    </w:p>
    <w:p w14:paraId="7F1EDB49" w14:textId="6115C650" w:rsidR="00AE02D8" w:rsidRPr="00A413A6" w:rsidRDefault="00475262" w:rsidP="00A413A6">
      <w:pPr>
        <w:pStyle w:val="BriefText"/>
      </w:pPr>
      <w:r>
        <w:t>No democracy can claim to be built on such a system, and so the public interest is helped by the demise of the county line system. Political parties will still be entitled to endorse candidates and run them under their chosen slogans, but going forward, they will not be able to exclude candidates from the process and receive calculable and verifiable benefits to their superior (and guaranteed) placement on the ballot. Consequently, i</w:t>
      </w:r>
      <w:r w:rsidR="00B36706">
        <w:t xml:space="preserve">f the preliminary injunction remains in effect, </w:t>
      </w:r>
      <w:r w:rsidR="00B36706" w:rsidRPr="00B36706">
        <w:rPr>
          <w:i/>
          <w:iCs/>
        </w:rPr>
        <w:t>amici</w:t>
      </w:r>
      <w:r w:rsidR="00B36706">
        <w:t xml:space="preserve"> will have an equal shot at drawing preferential ballot placement to any other candidate. They </w:t>
      </w:r>
      <w:r w:rsidR="008D1A4E">
        <w:t>would</w:t>
      </w:r>
      <w:r w:rsidR="00B36706">
        <w:t xml:space="preserve"> not </w:t>
      </w:r>
      <w:r w:rsidR="008D1A4E">
        <w:t xml:space="preserve">be </w:t>
      </w:r>
      <w:r w:rsidR="00B36706">
        <w:t>at risk of being placed in “Ballot Siberia” if they cannot arrange an agreement with a Senate candidate to bracket and associate with them.</w:t>
      </w:r>
      <w:r w:rsidR="008D1A4E">
        <w:t xml:space="preserve"> For candidates to finally receive a fair shot at being elected will always be in the public interest and the Court should consider this interest in denying stay pending appeal.</w:t>
      </w:r>
    </w:p>
    <w:p w14:paraId="1BFB0AE9" w14:textId="77777777" w:rsidR="0055693D" w:rsidRDefault="0055693D">
      <w:pPr>
        <w:spacing w:after="160" w:line="259" w:lineRule="auto"/>
        <w:jc w:val="left"/>
        <w:rPr>
          <w:b/>
          <w:bCs/>
          <w:sz w:val="28"/>
          <w:szCs w:val="28"/>
        </w:rPr>
      </w:pPr>
      <w:r>
        <w:br w:type="page"/>
      </w:r>
    </w:p>
    <w:p w14:paraId="20928C81" w14:textId="0AC75456" w:rsidR="00997626" w:rsidRPr="001478C1" w:rsidRDefault="00997626" w:rsidP="001478C1">
      <w:pPr>
        <w:pStyle w:val="Heading1"/>
      </w:pPr>
      <w:bookmarkStart w:id="8" w:name="_Toc162953749"/>
      <w:r w:rsidRPr="001478C1">
        <w:lastRenderedPageBreak/>
        <w:t>CONCLUSION</w:t>
      </w:r>
      <w:bookmarkEnd w:id="8"/>
    </w:p>
    <w:p w14:paraId="37CEBBF5" w14:textId="4F9BBF48" w:rsidR="00D305AF" w:rsidRPr="00D305AF" w:rsidRDefault="00D305AF" w:rsidP="00130501">
      <w:pPr>
        <w:pStyle w:val="BriefText"/>
        <w:rPr>
          <w:u w:val="single"/>
        </w:rPr>
      </w:pPr>
      <w:r>
        <w:t>This Court has</w:t>
      </w:r>
      <w:r w:rsidR="006F0552">
        <w:t xml:space="preserve"> previously</w:t>
      </w:r>
      <w:r>
        <w:t xml:space="preserve"> held that it is axiomatic that “[v]</w:t>
      </w:r>
      <w:proofErr w:type="spellStart"/>
      <w:r>
        <w:t>oters</w:t>
      </w:r>
      <w:proofErr w:type="spellEnd"/>
      <w:r>
        <w:t>, not lawyers,” choose their elected officials.</w:t>
      </w:r>
      <w:r w:rsidRPr="00130501">
        <w:t xml:space="preserve"> </w:t>
      </w:r>
      <w:r w:rsidRPr="00A1641F">
        <w:rPr>
          <w:i/>
          <w:iCs/>
        </w:rPr>
        <w:t>Donald J. Trump for President, Inc. v. Sec’y Pa.</w:t>
      </w:r>
      <w:r w:rsidRPr="00130501">
        <w:t xml:space="preserve">, 830 F. </w:t>
      </w:r>
      <w:proofErr w:type="spellStart"/>
      <w:r w:rsidRPr="00130501">
        <w:t>App’x</w:t>
      </w:r>
      <w:proofErr w:type="spellEnd"/>
      <w:r w:rsidRPr="00130501">
        <w:t xml:space="preserve"> 377, 391 (3d Cir. 2020)</w:t>
      </w:r>
      <w:r w:rsidR="00B02922">
        <w:fldChar w:fldCharType="begin"/>
      </w:r>
      <w:r w:rsidR="00B02922">
        <w:instrText xml:space="preserve"> TA \l "</w:instrText>
      </w:r>
      <w:r w:rsidR="00B02922" w:rsidRPr="0068094D">
        <w:rPr>
          <w:i/>
          <w:iCs/>
        </w:rPr>
        <w:instrText>Donald J. Trump for President, Inc. v. Sec’y Pa.</w:instrText>
      </w:r>
      <w:r w:rsidR="00B02922" w:rsidRPr="0068094D">
        <w:instrText>, 830 F. App’x 377 (3d Cir. 2020)</w:instrText>
      </w:r>
      <w:r w:rsidR="00B02922">
        <w:instrText xml:space="preserve">" \s "Donald J. Trump for President, Inc. v. Sec’y Pa., 830 F. App’x 377 (3d Cir. 2020)" \c 1 </w:instrText>
      </w:r>
      <w:r w:rsidR="00B02922">
        <w:fldChar w:fldCharType="end"/>
      </w:r>
      <w:r w:rsidRPr="00130501">
        <w:t>.</w:t>
      </w:r>
      <w:r>
        <w:t xml:space="preserve"> </w:t>
      </w:r>
      <w:r w:rsidR="001E4F06">
        <w:t xml:space="preserve">Indeed, </w:t>
      </w:r>
      <w:r w:rsidR="00130501" w:rsidRPr="00130501">
        <w:t>“</w:t>
      </w:r>
      <w:r>
        <w:t>B</w:t>
      </w:r>
      <w:r w:rsidR="00130501" w:rsidRPr="00130501">
        <w:t xml:space="preserve">allots, not briefs, decide elections.” </w:t>
      </w:r>
      <w:r w:rsidRPr="00D305AF">
        <w:rPr>
          <w:i/>
          <w:iCs/>
        </w:rPr>
        <w:t>Ibid.</w:t>
      </w:r>
      <w:r>
        <w:t xml:space="preserve"> In the final analysis, the </w:t>
      </w:r>
      <w:r w:rsidR="00A21020">
        <w:t xml:space="preserve">plaintiffs </w:t>
      </w:r>
      <w:r>
        <w:t xml:space="preserve">that brought this action, and the </w:t>
      </w:r>
      <w:r w:rsidRPr="00D305AF">
        <w:rPr>
          <w:i/>
          <w:iCs/>
        </w:rPr>
        <w:t>amici</w:t>
      </w:r>
      <w:r>
        <w:t xml:space="preserve"> who support </w:t>
      </w:r>
      <w:r w:rsidR="000828C2">
        <w:t>them</w:t>
      </w:r>
      <w:r>
        <w:t xml:space="preserve">, are simply seeking a fair ballot so </w:t>
      </w:r>
      <w:r w:rsidR="003270D4">
        <w:t xml:space="preserve">all </w:t>
      </w:r>
      <w:r>
        <w:t>candidates have a fair shot at winning the ultimate prize in our democracy. Denying a stay in this case means that New Jersey, for the first time in more than half a century, finally has the same opportunity that every other state in our nation enjoys in every election: a free and fair election decided by voters using their ballots, not one pre-determined by party bosses. At long last, the people of New Jersey deserve that opportunity. The stay should be denied.</w:t>
      </w:r>
    </w:p>
    <w:p w14:paraId="332FEAEC" w14:textId="5890EFA0" w:rsidR="00130501" w:rsidRPr="00130501" w:rsidRDefault="00130501" w:rsidP="00130501">
      <w:pPr>
        <w:spacing w:after="0" w:line="480" w:lineRule="exact"/>
        <w:ind w:left="4320"/>
        <w:rPr>
          <w:rFonts w:eastAsia="Aptos" w:cs="Times New Roman"/>
          <w:b/>
          <w:bCs/>
          <w:sz w:val="28"/>
          <w:szCs w:val="28"/>
        </w:rPr>
      </w:pPr>
      <w:r w:rsidRPr="00130501">
        <w:rPr>
          <w:rFonts w:eastAsia="Aptos" w:cs="Times New Roman"/>
          <w:b/>
          <w:bCs/>
          <w:sz w:val="28"/>
          <w:szCs w:val="28"/>
        </w:rPr>
        <w:t>JARDIM MEISNER SALMON</w:t>
      </w:r>
    </w:p>
    <w:p w14:paraId="220D61A9" w14:textId="4B45ABE9" w:rsidR="00130501" w:rsidRPr="00130501" w:rsidRDefault="00130501" w:rsidP="00130501">
      <w:pPr>
        <w:spacing w:after="140" w:line="280" w:lineRule="exact"/>
        <w:ind w:left="4320"/>
        <w:rPr>
          <w:rFonts w:eastAsia="Aptos" w:cs="Times New Roman"/>
          <w:b/>
          <w:bCs/>
          <w:sz w:val="28"/>
          <w:szCs w:val="28"/>
        </w:rPr>
      </w:pPr>
      <w:r w:rsidRPr="00130501">
        <w:rPr>
          <w:rFonts w:eastAsia="Aptos" w:cs="Times New Roman"/>
          <w:b/>
          <w:bCs/>
          <w:sz w:val="28"/>
          <w:szCs w:val="28"/>
        </w:rPr>
        <w:t>SPRAGUE &amp; SUSSER, P.C.</w:t>
      </w:r>
    </w:p>
    <w:p w14:paraId="35345C17" w14:textId="77777777" w:rsidR="00130501" w:rsidRDefault="00130501" w:rsidP="00130501">
      <w:pPr>
        <w:keepNext/>
        <w:spacing w:after="0" w:line="240" w:lineRule="exact"/>
        <w:ind w:left="4320"/>
        <w:contextualSpacing/>
        <w:rPr>
          <w:rFonts w:eastAsia="Aptos" w:cs="Times New Roman"/>
          <w:sz w:val="28"/>
          <w:szCs w:val="28"/>
          <w:u w:val="single"/>
        </w:rPr>
      </w:pPr>
    </w:p>
    <w:p w14:paraId="50542950" w14:textId="59893406" w:rsidR="00130501" w:rsidRPr="00130501" w:rsidRDefault="00130501" w:rsidP="00130501">
      <w:pPr>
        <w:keepNext/>
        <w:spacing w:after="0" w:line="280" w:lineRule="exact"/>
        <w:ind w:left="2880" w:firstLine="720"/>
        <w:contextualSpacing/>
        <w:rPr>
          <w:rFonts w:eastAsia="Aptos" w:cs="Times New Roman"/>
          <w:sz w:val="28"/>
          <w:szCs w:val="28"/>
          <w:u w:val="single"/>
        </w:rPr>
      </w:pPr>
      <w:bookmarkStart w:id="9" w:name="_Hlk162915523"/>
      <w:r>
        <w:rPr>
          <w:rFonts w:eastAsia="Aptos" w:cs="Times New Roman"/>
          <w:sz w:val="28"/>
          <w:szCs w:val="28"/>
        </w:rPr>
        <w:t xml:space="preserve">    </w:t>
      </w:r>
      <w:r w:rsidRPr="00130501">
        <w:rPr>
          <w:rFonts w:eastAsia="Aptos" w:cs="Times New Roman"/>
          <w:sz w:val="28"/>
          <w:szCs w:val="28"/>
        </w:rPr>
        <w:t>By:</w:t>
      </w:r>
      <w:r w:rsidRPr="00130501">
        <w:rPr>
          <w:rFonts w:eastAsia="Aptos" w:cs="Times New Roman"/>
          <w:sz w:val="28"/>
          <w:szCs w:val="28"/>
        </w:rPr>
        <w:tab/>
      </w:r>
      <w:r w:rsidRPr="00130501">
        <w:rPr>
          <w:rFonts w:eastAsia="Aptos" w:cs="Times New Roman"/>
          <w:sz w:val="28"/>
          <w:szCs w:val="28"/>
          <w:u w:val="single"/>
        </w:rPr>
        <w:t>/s/Scott D. Salmon</w:t>
      </w:r>
      <w:r>
        <w:rPr>
          <w:rFonts w:eastAsia="Aptos" w:cs="Times New Roman"/>
          <w:sz w:val="28"/>
          <w:szCs w:val="28"/>
          <w:u w:val="single"/>
        </w:rPr>
        <w:t>_____</w:t>
      </w:r>
    </w:p>
    <w:p w14:paraId="47C1CA23" w14:textId="1C066DA4" w:rsidR="00130501" w:rsidRDefault="00130501" w:rsidP="00130501">
      <w:pPr>
        <w:keepNext/>
        <w:spacing w:after="0" w:line="280" w:lineRule="exact"/>
        <w:ind w:left="4320"/>
        <w:contextualSpacing/>
        <w:rPr>
          <w:rFonts w:eastAsia="Aptos" w:cs="Times New Roman"/>
          <w:sz w:val="28"/>
          <w:szCs w:val="28"/>
        </w:rPr>
      </w:pPr>
      <w:r>
        <w:rPr>
          <w:rFonts w:eastAsia="Aptos" w:cs="Times New Roman"/>
          <w:sz w:val="28"/>
          <w:szCs w:val="28"/>
        </w:rPr>
        <w:t>SCOTT D. SALMON</w:t>
      </w:r>
    </w:p>
    <w:bookmarkEnd w:id="9"/>
    <w:p w14:paraId="1A4B19A8" w14:textId="5CA1CAB6" w:rsidR="00130501" w:rsidRDefault="00130501" w:rsidP="00130501">
      <w:pPr>
        <w:keepNext/>
        <w:spacing w:after="0" w:line="280" w:lineRule="exact"/>
        <w:ind w:left="4320"/>
        <w:contextualSpacing/>
        <w:rPr>
          <w:rFonts w:eastAsia="Aptos" w:cs="Times New Roman"/>
          <w:sz w:val="28"/>
          <w:szCs w:val="28"/>
        </w:rPr>
      </w:pPr>
      <w:r>
        <w:rPr>
          <w:rFonts w:eastAsia="Aptos" w:cs="Times New Roman"/>
          <w:sz w:val="28"/>
          <w:szCs w:val="28"/>
        </w:rPr>
        <w:t>30B Vreeland Road, Suite 100</w:t>
      </w:r>
    </w:p>
    <w:p w14:paraId="5587598D" w14:textId="628A149A" w:rsidR="00130501" w:rsidRDefault="00130501" w:rsidP="00130501">
      <w:pPr>
        <w:keepNext/>
        <w:spacing w:after="0" w:line="280" w:lineRule="exact"/>
        <w:ind w:left="4320"/>
        <w:contextualSpacing/>
        <w:rPr>
          <w:rFonts w:eastAsia="Aptos" w:cs="Times New Roman"/>
          <w:sz w:val="28"/>
          <w:szCs w:val="28"/>
        </w:rPr>
      </w:pPr>
      <w:r>
        <w:rPr>
          <w:rFonts w:eastAsia="Aptos" w:cs="Times New Roman"/>
          <w:sz w:val="28"/>
          <w:szCs w:val="28"/>
        </w:rPr>
        <w:t>Florham Park, New Jersey 07932</w:t>
      </w:r>
    </w:p>
    <w:p w14:paraId="60398800" w14:textId="77777777" w:rsidR="00130501" w:rsidRDefault="00130501" w:rsidP="00130501">
      <w:pPr>
        <w:keepNext/>
        <w:spacing w:after="0" w:line="280" w:lineRule="exact"/>
        <w:ind w:left="4320"/>
        <w:contextualSpacing/>
        <w:rPr>
          <w:rFonts w:eastAsia="Aptos" w:cs="Times New Roman"/>
          <w:sz w:val="28"/>
          <w:szCs w:val="28"/>
        </w:rPr>
      </w:pPr>
    </w:p>
    <w:p w14:paraId="2198F01B" w14:textId="79D2177A" w:rsidR="009A6F0C" w:rsidRPr="009A6F0C" w:rsidRDefault="00547A8D" w:rsidP="009A6F0C">
      <w:pPr>
        <w:keepNext/>
        <w:spacing w:after="0" w:line="280" w:lineRule="exact"/>
        <w:ind w:left="4320"/>
        <w:contextualSpacing/>
        <w:jc w:val="left"/>
        <w:rPr>
          <w:rFonts w:eastAsia="Aptos" w:cs="Times New Roman"/>
          <w:i/>
          <w:iCs/>
          <w:sz w:val="28"/>
          <w:szCs w:val="28"/>
        </w:rPr>
      </w:pPr>
      <w:r>
        <w:rPr>
          <w:rFonts w:eastAsia="Aptos" w:cs="Times New Roman"/>
          <w:i/>
          <w:iCs/>
          <w:sz w:val="28"/>
          <w:szCs w:val="28"/>
        </w:rPr>
        <w:t>Counsel</w:t>
      </w:r>
      <w:r w:rsidR="00130501" w:rsidRPr="009A6F0C">
        <w:rPr>
          <w:rFonts w:eastAsia="Aptos" w:cs="Times New Roman"/>
          <w:i/>
          <w:iCs/>
          <w:sz w:val="28"/>
          <w:szCs w:val="28"/>
        </w:rPr>
        <w:t xml:space="preserve"> for </w:t>
      </w:r>
      <w:r w:rsidR="00130501" w:rsidRPr="00514FE3">
        <w:rPr>
          <w:rFonts w:eastAsia="Aptos" w:cs="Times New Roman"/>
          <w:sz w:val="28"/>
          <w:szCs w:val="28"/>
        </w:rPr>
        <w:t>Amic</w:t>
      </w:r>
      <w:r w:rsidR="00514FE3" w:rsidRPr="00514FE3">
        <w:rPr>
          <w:rFonts w:eastAsia="Aptos" w:cs="Times New Roman"/>
          <w:sz w:val="28"/>
          <w:szCs w:val="28"/>
        </w:rPr>
        <w:t>us Curiae</w:t>
      </w:r>
      <w:r w:rsidR="009A6F0C">
        <w:rPr>
          <w:rFonts w:eastAsia="Aptos" w:cs="Times New Roman"/>
          <w:i/>
          <w:iCs/>
          <w:sz w:val="28"/>
          <w:szCs w:val="28"/>
        </w:rPr>
        <w:t>,</w:t>
      </w:r>
      <w:r w:rsidR="00130501" w:rsidRPr="009A6F0C">
        <w:rPr>
          <w:rFonts w:eastAsia="Aptos" w:cs="Times New Roman"/>
          <w:i/>
          <w:iCs/>
          <w:sz w:val="28"/>
          <w:szCs w:val="28"/>
        </w:rPr>
        <w:t xml:space="preserve"> </w:t>
      </w:r>
      <w:r w:rsidR="009A6F0C" w:rsidRPr="009A6F0C">
        <w:rPr>
          <w:rFonts w:eastAsia="Aptos" w:cs="Times New Roman"/>
          <w:i/>
          <w:iCs/>
          <w:sz w:val="28"/>
          <w:szCs w:val="28"/>
        </w:rPr>
        <w:t>Ravi Bhalla</w:t>
      </w:r>
      <w:r w:rsidR="009A6F0C">
        <w:rPr>
          <w:rFonts w:eastAsia="Aptos" w:cs="Times New Roman"/>
          <w:i/>
          <w:iCs/>
          <w:sz w:val="28"/>
          <w:szCs w:val="28"/>
        </w:rPr>
        <w:t xml:space="preserve">, </w:t>
      </w:r>
      <w:r w:rsidR="009A6F0C" w:rsidRPr="009A6F0C">
        <w:rPr>
          <w:rFonts w:eastAsia="Aptos" w:cs="Times New Roman"/>
          <w:i/>
          <w:iCs/>
          <w:sz w:val="28"/>
          <w:szCs w:val="28"/>
        </w:rPr>
        <w:t>Jerry Speziale, and Patricia Campos-Medina</w:t>
      </w:r>
    </w:p>
    <w:p w14:paraId="1F76665E" w14:textId="022E7BB5" w:rsidR="00997626" w:rsidRPr="001478C1" w:rsidRDefault="00997626" w:rsidP="009C1D5D">
      <w:pPr>
        <w:pStyle w:val="BriefText"/>
      </w:pPr>
      <w:r w:rsidRPr="001478C1">
        <w:br w:type="page"/>
      </w:r>
    </w:p>
    <w:p w14:paraId="35DE8401" w14:textId="058B5C14" w:rsidR="00A845BC" w:rsidRDefault="00A845BC" w:rsidP="00A845BC">
      <w:pPr>
        <w:pStyle w:val="Heading1"/>
      </w:pPr>
      <w:bookmarkStart w:id="10" w:name="_Toc162953750"/>
      <w:r>
        <w:lastRenderedPageBreak/>
        <w:t>CERTIFICATION</w:t>
      </w:r>
      <w:r w:rsidR="005550A7">
        <w:t>S OF COUNSEL</w:t>
      </w:r>
      <w:bookmarkEnd w:id="10"/>
    </w:p>
    <w:p w14:paraId="594A9EF7" w14:textId="77777777" w:rsidR="005550A7" w:rsidRDefault="00A845BC" w:rsidP="005550A7">
      <w:pPr>
        <w:pStyle w:val="BriefText"/>
        <w:numPr>
          <w:ilvl w:val="0"/>
          <w:numId w:val="5"/>
        </w:numPr>
        <w:ind w:left="0" w:firstLine="360"/>
      </w:pPr>
      <w:r w:rsidRPr="00A845BC">
        <w:t xml:space="preserve">I, Scott D. Salmon, certify </w:t>
      </w:r>
      <w:r w:rsidR="00A15B9C">
        <w:t xml:space="preserve">under penalty of perjury that I </w:t>
      </w:r>
      <w:r w:rsidRPr="00A845BC">
        <w:t>am a member in good standing of the bar of the United States Court of Appeals for the Third Circuit.</w:t>
      </w:r>
    </w:p>
    <w:p w14:paraId="4E33029D" w14:textId="0D7E5395" w:rsidR="005550A7" w:rsidRDefault="005550A7" w:rsidP="005550A7">
      <w:pPr>
        <w:pStyle w:val="BriefText"/>
        <w:numPr>
          <w:ilvl w:val="0"/>
          <w:numId w:val="5"/>
        </w:numPr>
        <w:ind w:left="0" w:firstLine="360"/>
      </w:pPr>
      <w:r>
        <w:t xml:space="preserve">This brief complies with the word </w:t>
      </w:r>
      <w:r w:rsidRPr="005550A7">
        <w:t xml:space="preserve">limit of Fed. R. App. P. 29(a)(5) because, excluding the parts of the document exempted by Fed. R. App. P. 32(f), this document contains </w:t>
      </w:r>
      <w:r w:rsidR="00E93DA4" w:rsidRPr="00E93DA4">
        <w:rPr>
          <w:highlight w:val="green"/>
        </w:rPr>
        <w:t>3,513</w:t>
      </w:r>
      <w:r w:rsidRPr="005550A7">
        <w:t xml:space="preserve"> words.</w:t>
      </w:r>
    </w:p>
    <w:p w14:paraId="016F4512" w14:textId="77777777" w:rsidR="005550A7" w:rsidRDefault="005550A7" w:rsidP="005550A7">
      <w:pPr>
        <w:pStyle w:val="BriefText"/>
        <w:numPr>
          <w:ilvl w:val="0"/>
          <w:numId w:val="5"/>
        </w:numPr>
        <w:ind w:left="0" w:firstLine="360"/>
      </w:pPr>
      <w:r w:rsidRPr="005550A7">
        <w:t>This brief also complies with the typeface requirements of Fed. R. App. P. 32(a)(5) and the type-style requirements of Fed. R. App. P. 32(a)(6) because this document has been prepared in a proportionally spaced 14-point serif font (</w:t>
      </w:r>
      <w:r>
        <w:t>Equity</w:t>
      </w:r>
      <w:r w:rsidRPr="005550A7">
        <w:t>), using Microsoft Word.</w:t>
      </w:r>
    </w:p>
    <w:p w14:paraId="0DD4D084" w14:textId="77777777" w:rsidR="005550A7" w:rsidRDefault="005550A7" w:rsidP="005550A7">
      <w:pPr>
        <w:pStyle w:val="BriefText"/>
        <w:numPr>
          <w:ilvl w:val="0"/>
          <w:numId w:val="5"/>
        </w:numPr>
        <w:ind w:left="0" w:firstLine="360"/>
      </w:pPr>
      <w:r w:rsidRPr="005550A7">
        <w:t xml:space="preserve">Pursuant to </w:t>
      </w:r>
      <w:r>
        <w:t>Local Rule</w:t>
      </w:r>
      <w:r w:rsidRPr="005550A7">
        <w:t xml:space="preserve"> 31.1(c), the text of the electronic version of this document is identical to the text of the paper copies filed with the Court.</w:t>
      </w:r>
    </w:p>
    <w:p w14:paraId="0C416508" w14:textId="61890E96" w:rsidR="005550A7" w:rsidRDefault="005550A7" w:rsidP="005550A7">
      <w:pPr>
        <w:pStyle w:val="BriefText"/>
        <w:numPr>
          <w:ilvl w:val="0"/>
          <w:numId w:val="5"/>
        </w:numPr>
        <w:ind w:left="0" w:firstLine="360"/>
      </w:pPr>
      <w:r w:rsidRPr="005550A7">
        <w:t xml:space="preserve">Pursuant to </w:t>
      </w:r>
      <w:r>
        <w:t>Local</w:t>
      </w:r>
      <w:r w:rsidR="00445A37">
        <w:t xml:space="preserve"> Rule</w:t>
      </w:r>
      <w:r>
        <w:t xml:space="preserve"> </w:t>
      </w:r>
      <w:r w:rsidRPr="005550A7">
        <w:t xml:space="preserve">31.1(c), </w:t>
      </w:r>
      <w:r w:rsidRPr="005550A7">
        <w:rPr>
          <w:highlight w:val="green"/>
        </w:rPr>
        <w:t>Microsoft Safety Scanner version 1.389.757.0</w:t>
      </w:r>
      <w:r w:rsidRPr="005550A7">
        <w:t xml:space="preserve"> has been run on this electronic file and no virus was detected.</w:t>
      </w:r>
    </w:p>
    <w:p w14:paraId="1B91C5EA" w14:textId="77777777" w:rsidR="00A845BC" w:rsidRDefault="00A845BC" w:rsidP="00A845BC">
      <w:pPr>
        <w:keepNext/>
        <w:spacing w:after="0" w:line="280" w:lineRule="exact"/>
        <w:contextualSpacing/>
        <w:rPr>
          <w:rFonts w:eastAsia="Aptos" w:cs="Times New Roman"/>
          <w:sz w:val="28"/>
          <w:szCs w:val="28"/>
        </w:rPr>
      </w:pPr>
    </w:p>
    <w:p w14:paraId="70B33232" w14:textId="7A39EEF9" w:rsidR="00A845BC" w:rsidRPr="00130501" w:rsidRDefault="00A845BC" w:rsidP="00A845BC">
      <w:pPr>
        <w:keepNext/>
        <w:spacing w:after="0" w:line="280" w:lineRule="exact"/>
        <w:contextualSpacing/>
        <w:rPr>
          <w:rFonts w:eastAsia="Aptos" w:cs="Times New Roman"/>
          <w:sz w:val="28"/>
          <w:szCs w:val="28"/>
          <w:u w:val="single"/>
        </w:rPr>
      </w:pPr>
      <w:r>
        <w:rPr>
          <w:rFonts w:eastAsia="Aptos" w:cs="Times New Roman"/>
          <w:sz w:val="28"/>
          <w:szCs w:val="28"/>
        </w:rPr>
        <w:t xml:space="preserve">Dated: April 2, </w:t>
      </w:r>
      <w:proofErr w:type="gramStart"/>
      <w:r>
        <w:rPr>
          <w:rFonts w:eastAsia="Aptos" w:cs="Times New Roman"/>
          <w:sz w:val="28"/>
          <w:szCs w:val="28"/>
        </w:rPr>
        <w:t>2024</w:t>
      </w:r>
      <w:proofErr w:type="gramEnd"/>
      <w:r>
        <w:rPr>
          <w:rFonts w:eastAsia="Aptos" w:cs="Times New Roman"/>
          <w:sz w:val="28"/>
          <w:szCs w:val="28"/>
        </w:rPr>
        <w:tab/>
      </w:r>
      <w:r>
        <w:rPr>
          <w:rFonts w:eastAsia="Aptos" w:cs="Times New Roman"/>
          <w:sz w:val="28"/>
          <w:szCs w:val="28"/>
        </w:rPr>
        <w:tab/>
        <w:t xml:space="preserve">    </w:t>
      </w:r>
      <w:r w:rsidRPr="00130501">
        <w:rPr>
          <w:rFonts w:eastAsia="Aptos" w:cs="Times New Roman"/>
          <w:sz w:val="28"/>
          <w:szCs w:val="28"/>
        </w:rPr>
        <w:t>By:</w:t>
      </w:r>
      <w:r w:rsidRPr="00130501">
        <w:rPr>
          <w:rFonts w:eastAsia="Aptos" w:cs="Times New Roman"/>
          <w:sz w:val="28"/>
          <w:szCs w:val="28"/>
        </w:rPr>
        <w:tab/>
      </w:r>
      <w:r w:rsidRPr="00130501">
        <w:rPr>
          <w:rFonts w:eastAsia="Aptos" w:cs="Times New Roman"/>
          <w:sz w:val="28"/>
          <w:szCs w:val="28"/>
          <w:u w:val="single"/>
        </w:rPr>
        <w:t>/s/Scott D. Salmon</w:t>
      </w:r>
      <w:r>
        <w:rPr>
          <w:rFonts w:eastAsia="Aptos" w:cs="Times New Roman"/>
          <w:sz w:val="28"/>
          <w:szCs w:val="28"/>
          <w:u w:val="single"/>
        </w:rPr>
        <w:t>_____</w:t>
      </w:r>
    </w:p>
    <w:p w14:paraId="2599AB5E" w14:textId="77777777" w:rsidR="00A845BC" w:rsidRDefault="00A845BC" w:rsidP="00A845BC">
      <w:pPr>
        <w:keepNext/>
        <w:spacing w:after="0" w:line="280" w:lineRule="exact"/>
        <w:ind w:left="4320"/>
        <w:contextualSpacing/>
        <w:rPr>
          <w:rFonts w:eastAsia="Aptos" w:cs="Times New Roman"/>
          <w:sz w:val="28"/>
          <w:szCs w:val="28"/>
        </w:rPr>
      </w:pPr>
      <w:r>
        <w:rPr>
          <w:rFonts w:eastAsia="Aptos" w:cs="Times New Roman"/>
          <w:sz w:val="28"/>
          <w:szCs w:val="28"/>
        </w:rPr>
        <w:t>SCOTT D. SALMON</w:t>
      </w:r>
    </w:p>
    <w:p w14:paraId="048A38DE" w14:textId="77777777" w:rsidR="00A845BC" w:rsidRDefault="00A845BC" w:rsidP="00A845BC">
      <w:pPr>
        <w:spacing w:after="160" w:line="259" w:lineRule="auto"/>
        <w:jc w:val="left"/>
      </w:pPr>
    </w:p>
    <w:p w14:paraId="11DFB832" w14:textId="77777777" w:rsidR="00632036" w:rsidRDefault="00A845BC" w:rsidP="00A845BC">
      <w:pPr>
        <w:spacing w:after="160" w:line="259" w:lineRule="auto"/>
        <w:jc w:val="left"/>
      </w:pPr>
      <w:r>
        <w:br w:type="page"/>
      </w:r>
    </w:p>
    <w:p w14:paraId="6CE762BF" w14:textId="674B6AD3" w:rsidR="00632036" w:rsidRDefault="00632036" w:rsidP="00632036">
      <w:pPr>
        <w:pStyle w:val="Heading1"/>
      </w:pPr>
      <w:bookmarkStart w:id="11" w:name="_Toc162953751"/>
      <w:r>
        <w:lastRenderedPageBreak/>
        <w:t>CERTIFICATE OF SERVICE</w:t>
      </w:r>
      <w:bookmarkEnd w:id="11"/>
    </w:p>
    <w:p w14:paraId="76C0B94B" w14:textId="59213C84" w:rsidR="00632036" w:rsidRDefault="00632036" w:rsidP="00632036">
      <w:pPr>
        <w:pStyle w:val="BriefText"/>
      </w:pPr>
      <w:r>
        <w:t>I hereby certify that, on April 2, 2024, I filed the foregoing using this Court’s CM/ECF system, which effectuated service on all parties.</w:t>
      </w:r>
    </w:p>
    <w:p w14:paraId="42D2C574" w14:textId="77777777" w:rsidR="00632036" w:rsidRDefault="00632036" w:rsidP="00632036">
      <w:pPr>
        <w:keepNext/>
        <w:spacing w:after="0" w:line="280" w:lineRule="exact"/>
        <w:contextualSpacing/>
        <w:rPr>
          <w:rFonts w:eastAsia="Aptos" w:cs="Times New Roman"/>
          <w:sz w:val="28"/>
          <w:szCs w:val="28"/>
        </w:rPr>
      </w:pPr>
    </w:p>
    <w:p w14:paraId="30B48DBD" w14:textId="4E0C2420" w:rsidR="00632036" w:rsidRPr="00130501" w:rsidRDefault="00632036" w:rsidP="00632036">
      <w:pPr>
        <w:keepNext/>
        <w:spacing w:after="0" w:line="280" w:lineRule="exact"/>
        <w:contextualSpacing/>
        <w:rPr>
          <w:rFonts w:eastAsia="Aptos" w:cs="Times New Roman"/>
          <w:sz w:val="28"/>
          <w:szCs w:val="28"/>
          <w:u w:val="single"/>
        </w:rPr>
      </w:pPr>
      <w:r>
        <w:rPr>
          <w:rFonts w:eastAsia="Aptos" w:cs="Times New Roman"/>
          <w:sz w:val="28"/>
          <w:szCs w:val="28"/>
        </w:rPr>
        <w:t xml:space="preserve">Dated: April 2, </w:t>
      </w:r>
      <w:proofErr w:type="gramStart"/>
      <w:r>
        <w:rPr>
          <w:rFonts w:eastAsia="Aptos" w:cs="Times New Roman"/>
          <w:sz w:val="28"/>
          <w:szCs w:val="28"/>
        </w:rPr>
        <w:t>2024</w:t>
      </w:r>
      <w:proofErr w:type="gramEnd"/>
      <w:r>
        <w:rPr>
          <w:rFonts w:eastAsia="Aptos" w:cs="Times New Roman"/>
          <w:sz w:val="28"/>
          <w:szCs w:val="28"/>
        </w:rPr>
        <w:tab/>
      </w:r>
      <w:r>
        <w:rPr>
          <w:rFonts w:eastAsia="Aptos" w:cs="Times New Roman"/>
          <w:sz w:val="28"/>
          <w:szCs w:val="28"/>
        </w:rPr>
        <w:tab/>
        <w:t xml:space="preserve">    </w:t>
      </w:r>
      <w:r w:rsidRPr="00130501">
        <w:rPr>
          <w:rFonts w:eastAsia="Aptos" w:cs="Times New Roman"/>
          <w:sz w:val="28"/>
          <w:szCs w:val="28"/>
        </w:rPr>
        <w:t>By:</w:t>
      </w:r>
      <w:r w:rsidRPr="00130501">
        <w:rPr>
          <w:rFonts w:eastAsia="Aptos" w:cs="Times New Roman"/>
          <w:sz w:val="28"/>
          <w:szCs w:val="28"/>
        </w:rPr>
        <w:tab/>
      </w:r>
      <w:r w:rsidRPr="00130501">
        <w:rPr>
          <w:rFonts w:eastAsia="Aptos" w:cs="Times New Roman"/>
          <w:sz w:val="28"/>
          <w:szCs w:val="28"/>
          <w:u w:val="single"/>
        </w:rPr>
        <w:t>/s/Scott D. Salmon</w:t>
      </w:r>
      <w:r>
        <w:rPr>
          <w:rFonts w:eastAsia="Aptos" w:cs="Times New Roman"/>
          <w:sz w:val="28"/>
          <w:szCs w:val="28"/>
          <w:u w:val="single"/>
        </w:rPr>
        <w:t>_____</w:t>
      </w:r>
    </w:p>
    <w:p w14:paraId="73F265EB" w14:textId="22A554BF" w:rsidR="001B5F9E" w:rsidRPr="006E760A" w:rsidRDefault="00632036" w:rsidP="006E760A">
      <w:pPr>
        <w:keepNext/>
        <w:spacing w:after="0" w:line="280" w:lineRule="exact"/>
        <w:ind w:left="4320"/>
        <w:contextualSpacing/>
        <w:rPr>
          <w:rFonts w:eastAsia="Aptos" w:cs="Times New Roman"/>
          <w:sz w:val="28"/>
          <w:szCs w:val="28"/>
        </w:rPr>
      </w:pPr>
      <w:r>
        <w:rPr>
          <w:rFonts w:eastAsia="Aptos" w:cs="Times New Roman"/>
          <w:sz w:val="28"/>
          <w:szCs w:val="28"/>
        </w:rPr>
        <w:t>SCOTT D. SALMON</w:t>
      </w:r>
    </w:p>
    <w:sectPr w:rsidR="001B5F9E" w:rsidRPr="006E760A">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F3F88" w14:textId="77777777" w:rsidR="001529D0" w:rsidRDefault="001529D0" w:rsidP="00AA1355">
      <w:pPr>
        <w:spacing w:after="0" w:line="240" w:lineRule="auto"/>
      </w:pPr>
      <w:r>
        <w:separator/>
      </w:r>
    </w:p>
  </w:endnote>
  <w:endnote w:type="continuationSeparator" w:id="0">
    <w:p w14:paraId="4C9E7B8D" w14:textId="77777777" w:rsidR="001529D0" w:rsidRDefault="001529D0" w:rsidP="00AA1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Equity Text A">
    <w:panose1 w:val="000000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4363" w14:textId="77777777" w:rsidR="0044528A" w:rsidRDefault="00445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1CC2" w14:textId="34B6C64F" w:rsidR="0044528A" w:rsidRPr="00883380" w:rsidRDefault="00883380" w:rsidP="00883380">
    <w:pPr>
      <w:pStyle w:val="Footer"/>
      <w:jc w:val="center"/>
      <w:rPr>
        <w:sz w:val="28"/>
        <w:szCs w:val="28"/>
      </w:rPr>
    </w:pPr>
    <w:r w:rsidRPr="00883380">
      <w:rPr>
        <w:sz w:val="28"/>
        <w:szCs w:val="28"/>
      </w:rPr>
      <w:fldChar w:fldCharType="begin"/>
    </w:r>
    <w:r w:rsidRPr="00883380">
      <w:rPr>
        <w:sz w:val="28"/>
        <w:szCs w:val="28"/>
      </w:rPr>
      <w:instrText xml:space="preserve"> PAGE   \* MERGEFORMAT </w:instrText>
    </w:r>
    <w:r w:rsidRPr="00883380">
      <w:rPr>
        <w:sz w:val="28"/>
        <w:szCs w:val="28"/>
      </w:rPr>
      <w:fldChar w:fldCharType="separate"/>
    </w:r>
    <w:r w:rsidRPr="00883380">
      <w:rPr>
        <w:noProof/>
        <w:sz w:val="28"/>
        <w:szCs w:val="28"/>
      </w:rPr>
      <w:t>1</w:t>
    </w:r>
    <w:r w:rsidRPr="00883380">
      <w:rPr>
        <w:noProof/>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C04B" w14:textId="77777777" w:rsidR="0044528A" w:rsidRDefault="004452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7B36" w14:textId="23F7005D" w:rsidR="0044528A" w:rsidRPr="00A845BC" w:rsidRDefault="00A845BC" w:rsidP="00A845BC">
    <w:pPr>
      <w:pStyle w:val="Footer"/>
      <w:jc w:val="center"/>
      <w:rPr>
        <w:sz w:val="28"/>
        <w:szCs w:val="28"/>
      </w:rPr>
    </w:pPr>
    <w:r w:rsidRPr="00A845BC">
      <w:rPr>
        <w:sz w:val="28"/>
        <w:szCs w:val="28"/>
      </w:rPr>
      <w:fldChar w:fldCharType="begin"/>
    </w:r>
    <w:r w:rsidRPr="00A845BC">
      <w:rPr>
        <w:sz w:val="28"/>
        <w:szCs w:val="28"/>
      </w:rPr>
      <w:instrText xml:space="preserve"> PAGE   \* MERGEFORMAT </w:instrText>
    </w:r>
    <w:r w:rsidRPr="00A845BC">
      <w:rPr>
        <w:sz w:val="28"/>
        <w:szCs w:val="28"/>
      </w:rPr>
      <w:fldChar w:fldCharType="separate"/>
    </w:r>
    <w:r w:rsidRPr="00A845BC">
      <w:rPr>
        <w:noProof/>
        <w:sz w:val="28"/>
        <w:szCs w:val="28"/>
      </w:rPr>
      <w:t>1</w:t>
    </w:r>
    <w:r w:rsidRPr="00A845BC">
      <w:rPr>
        <w:noProof/>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7F022" w14:textId="77777777" w:rsidR="001529D0" w:rsidRDefault="001529D0" w:rsidP="00AA1355">
      <w:pPr>
        <w:spacing w:after="0" w:line="240" w:lineRule="auto"/>
      </w:pPr>
      <w:r>
        <w:separator/>
      </w:r>
    </w:p>
  </w:footnote>
  <w:footnote w:type="continuationSeparator" w:id="0">
    <w:p w14:paraId="0708B743" w14:textId="77777777" w:rsidR="001529D0" w:rsidRDefault="001529D0" w:rsidP="00AA1355">
      <w:pPr>
        <w:spacing w:after="0" w:line="240" w:lineRule="auto"/>
      </w:pPr>
      <w:r>
        <w:continuationSeparator/>
      </w:r>
    </w:p>
  </w:footnote>
  <w:footnote w:id="1">
    <w:p w14:paraId="133AFC59" w14:textId="18AE3B20" w:rsidR="006373C9" w:rsidRPr="00917FEC" w:rsidRDefault="006373C9" w:rsidP="00483196">
      <w:pPr>
        <w:pStyle w:val="FootnoteText"/>
        <w:ind w:left="360" w:hanging="360"/>
        <w:rPr>
          <w:sz w:val="28"/>
          <w:szCs w:val="28"/>
        </w:rPr>
      </w:pPr>
      <w:r w:rsidRPr="00917FEC">
        <w:rPr>
          <w:rStyle w:val="FootnoteReference"/>
          <w:sz w:val="28"/>
          <w:szCs w:val="28"/>
          <w:vertAlign w:val="baseline"/>
        </w:rPr>
        <w:footnoteRef/>
      </w:r>
      <w:r w:rsidRPr="00917FEC">
        <w:rPr>
          <w:sz w:val="28"/>
          <w:szCs w:val="28"/>
        </w:rPr>
        <w:t>.</w:t>
      </w:r>
      <w:r w:rsidRPr="00917FEC">
        <w:rPr>
          <w:sz w:val="28"/>
          <w:szCs w:val="28"/>
        </w:rPr>
        <w:tab/>
        <w:t xml:space="preserve">All parties have consented to this filing. </w:t>
      </w:r>
      <w:r w:rsidRPr="00917FEC">
        <w:rPr>
          <w:i/>
          <w:iCs/>
          <w:sz w:val="28"/>
          <w:szCs w:val="28"/>
        </w:rPr>
        <w:t>See</w:t>
      </w:r>
      <w:r w:rsidRPr="00917FEC">
        <w:rPr>
          <w:sz w:val="28"/>
          <w:szCs w:val="28"/>
        </w:rPr>
        <w:t xml:space="preserve"> Fed. R. App. P. 29(a)(2). No party or party’s counsel authored this brief in whole or in part or contributed money that was intended to fund preparing or submitting this brief. No person other than </w:t>
      </w:r>
      <w:r w:rsidRPr="00917FEC">
        <w:rPr>
          <w:i/>
          <w:iCs/>
          <w:sz w:val="28"/>
          <w:szCs w:val="28"/>
        </w:rPr>
        <w:t>amici</w:t>
      </w:r>
      <w:r w:rsidRPr="00917FEC">
        <w:rPr>
          <w:sz w:val="28"/>
          <w:szCs w:val="28"/>
        </w:rPr>
        <w:t xml:space="preserve"> and their counsel contributed money related to the preparation or submission of this brief. </w:t>
      </w:r>
      <w:r w:rsidRPr="00917FEC">
        <w:rPr>
          <w:i/>
          <w:iCs/>
          <w:sz w:val="28"/>
          <w:szCs w:val="28"/>
        </w:rPr>
        <w:t>See</w:t>
      </w:r>
      <w:r w:rsidRPr="00917FEC">
        <w:rPr>
          <w:sz w:val="28"/>
          <w:szCs w:val="28"/>
        </w:rPr>
        <w:t xml:space="preserve"> Fed. R. App. P. 29(a)(4)(E).</w:t>
      </w:r>
    </w:p>
  </w:footnote>
  <w:footnote w:id="2">
    <w:p w14:paraId="7DF15378" w14:textId="5095CC65" w:rsidR="000563AB" w:rsidRPr="00917FEC" w:rsidRDefault="000563AB" w:rsidP="00917FEC">
      <w:pPr>
        <w:pStyle w:val="FootnoteText"/>
        <w:ind w:left="360" w:hanging="360"/>
        <w:rPr>
          <w:sz w:val="28"/>
          <w:szCs w:val="28"/>
        </w:rPr>
      </w:pPr>
      <w:r w:rsidRPr="00917FEC">
        <w:rPr>
          <w:rStyle w:val="FootnoteReference"/>
          <w:sz w:val="28"/>
          <w:szCs w:val="28"/>
          <w:vertAlign w:val="baseline"/>
        </w:rPr>
        <w:footnoteRef/>
      </w:r>
      <w:r w:rsidRPr="00917FEC">
        <w:rPr>
          <w:sz w:val="28"/>
          <w:szCs w:val="28"/>
        </w:rPr>
        <w:t>.</w:t>
      </w:r>
      <w:r w:rsidRPr="00917FEC">
        <w:rPr>
          <w:sz w:val="28"/>
          <w:szCs w:val="28"/>
        </w:rPr>
        <w:tab/>
      </w:r>
      <w:r w:rsidR="00AE5302" w:rsidRPr="00E5067E">
        <w:rPr>
          <w:sz w:val="28"/>
          <w:szCs w:val="28"/>
        </w:rPr>
        <w:t>S</w:t>
      </w:r>
      <w:r w:rsidRPr="00E5067E">
        <w:rPr>
          <w:sz w:val="28"/>
          <w:szCs w:val="28"/>
        </w:rPr>
        <w:t xml:space="preserve">ince this issue </w:t>
      </w:r>
      <w:r w:rsidR="00AE5302" w:rsidRPr="00E5067E">
        <w:rPr>
          <w:sz w:val="28"/>
          <w:szCs w:val="28"/>
        </w:rPr>
        <w:t xml:space="preserve">only </w:t>
      </w:r>
      <w:r w:rsidRPr="00E5067E">
        <w:rPr>
          <w:sz w:val="28"/>
          <w:szCs w:val="28"/>
        </w:rPr>
        <w:t xml:space="preserve">arises in the context of the granting of injunctive relief, the non-movant has already demonstrated their own likelihood of irreparable harm to the underlying court, and so their own injury </w:t>
      </w:r>
      <w:r w:rsidR="002D74E5" w:rsidRPr="00E5067E">
        <w:rPr>
          <w:sz w:val="28"/>
          <w:szCs w:val="28"/>
        </w:rPr>
        <w:t>should</w:t>
      </w:r>
      <w:r w:rsidRPr="00E5067E">
        <w:rPr>
          <w:sz w:val="28"/>
          <w:szCs w:val="28"/>
        </w:rPr>
        <w:t xml:space="preserve"> be assumed</w:t>
      </w:r>
      <w:r w:rsidRPr="00917FEC">
        <w:rPr>
          <w:sz w:val="28"/>
          <w:szCs w:val="28"/>
        </w:rPr>
        <w:t>.</w:t>
      </w:r>
    </w:p>
  </w:footnote>
  <w:footnote w:id="3">
    <w:p w14:paraId="01E74217" w14:textId="287A3329" w:rsidR="008D1FC4" w:rsidRDefault="008D1FC4" w:rsidP="00917FEC">
      <w:pPr>
        <w:pStyle w:val="FootnoteText"/>
        <w:ind w:left="360" w:hanging="360"/>
        <w:rPr>
          <w:rFonts w:cs="Times New Roman"/>
          <w:sz w:val="28"/>
          <w:szCs w:val="28"/>
        </w:rPr>
      </w:pPr>
      <w:r w:rsidRPr="00917FEC">
        <w:rPr>
          <w:rStyle w:val="FootnoteReference"/>
          <w:sz w:val="28"/>
          <w:szCs w:val="28"/>
          <w:vertAlign w:val="baseline"/>
        </w:rPr>
        <w:footnoteRef/>
      </w:r>
      <w:r w:rsidR="00543895" w:rsidRPr="00917FEC">
        <w:rPr>
          <w:sz w:val="28"/>
          <w:szCs w:val="28"/>
        </w:rPr>
        <w:t>.</w:t>
      </w:r>
      <w:r w:rsidR="00543895" w:rsidRPr="00917FEC">
        <w:rPr>
          <w:sz w:val="28"/>
          <w:szCs w:val="28"/>
        </w:rPr>
        <w:tab/>
        <w:t xml:space="preserve">It should be noted that it is not the County Clerks’ job to defend the laws of the State of New Jersey </w:t>
      </w:r>
      <w:r w:rsidR="00231939" w:rsidRPr="00917FEC">
        <w:rPr>
          <w:sz w:val="28"/>
          <w:szCs w:val="28"/>
        </w:rPr>
        <w:t xml:space="preserve">and they cannot claim </w:t>
      </w:r>
      <w:r w:rsidR="001E5BF6" w:rsidRPr="00917FEC">
        <w:rPr>
          <w:sz w:val="28"/>
          <w:szCs w:val="28"/>
        </w:rPr>
        <w:t>the mantle, and the burden, of doing so. Rather, that is the duty of the New Jersey Attorney General, who found the relevant statutes so indefensible to the interests of the voters</w:t>
      </w:r>
      <w:r w:rsidR="00114D90" w:rsidRPr="00917FEC">
        <w:rPr>
          <w:sz w:val="28"/>
          <w:szCs w:val="28"/>
        </w:rPr>
        <w:t xml:space="preserve"> that he not only</w:t>
      </w:r>
      <w:r w:rsidR="001C66E8" w:rsidRPr="00917FEC">
        <w:rPr>
          <w:sz w:val="28"/>
          <w:szCs w:val="28"/>
        </w:rPr>
        <w:t xml:space="preserve"> stated as such, but actively argued against their legality.</w:t>
      </w:r>
      <w:r w:rsidR="001B53D6" w:rsidRPr="00917FEC">
        <w:rPr>
          <w:sz w:val="28"/>
          <w:szCs w:val="28"/>
        </w:rPr>
        <w:t xml:space="preserve"> </w:t>
      </w:r>
      <w:r w:rsidR="00577B53">
        <w:rPr>
          <w:rFonts w:cs="Times New Roman"/>
          <w:sz w:val="28"/>
          <w:szCs w:val="28"/>
        </w:rPr>
        <w:t>(ECF No. 149).</w:t>
      </w:r>
    </w:p>
    <w:p w14:paraId="16C1506C" w14:textId="77777777" w:rsidR="00577B53" w:rsidRPr="00917FEC" w:rsidRDefault="00577B53" w:rsidP="00917FEC">
      <w:pPr>
        <w:pStyle w:val="FootnoteText"/>
        <w:ind w:left="360" w:hanging="360"/>
        <w:rPr>
          <w:sz w:val="28"/>
          <w:szCs w:val="28"/>
        </w:rPr>
      </w:pPr>
    </w:p>
  </w:footnote>
  <w:footnote w:id="4">
    <w:p w14:paraId="2AF23888" w14:textId="55AFA866" w:rsidR="002F16D0" w:rsidRDefault="002F16D0" w:rsidP="00917FEC">
      <w:pPr>
        <w:pStyle w:val="FootnoteText"/>
        <w:ind w:left="360" w:hanging="360"/>
        <w:rPr>
          <w:sz w:val="28"/>
          <w:szCs w:val="28"/>
        </w:rPr>
      </w:pPr>
      <w:r w:rsidRPr="00917FEC">
        <w:rPr>
          <w:rStyle w:val="FootnoteReference"/>
          <w:sz w:val="28"/>
          <w:szCs w:val="28"/>
          <w:vertAlign w:val="baseline"/>
        </w:rPr>
        <w:footnoteRef/>
      </w:r>
      <w:r w:rsidRPr="00917FEC">
        <w:rPr>
          <w:sz w:val="28"/>
          <w:szCs w:val="28"/>
        </w:rPr>
        <w:t>.</w:t>
      </w:r>
      <w:r w:rsidRPr="00917FEC">
        <w:rPr>
          <w:sz w:val="28"/>
          <w:szCs w:val="28"/>
        </w:rPr>
        <w:tab/>
      </w:r>
      <w:r w:rsidR="00FE1BEF">
        <w:rPr>
          <w:sz w:val="28"/>
          <w:szCs w:val="28"/>
        </w:rPr>
        <w:t xml:space="preserve">While </w:t>
      </w:r>
      <w:r w:rsidRPr="00917FEC">
        <w:rPr>
          <w:sz w:val="28"/>
          <w:szCs w:val="28"/>
        </w:rPr>
        <w:t xml:space="preserve">Twitter is now officially known as “X,” given Twitter’s common usage and worldwide saturation into </w:t>
      </w:r>
      <w:r w:rsidR="00FE1BEF">
        <w:rPr>
          <w:sz w:val="28"/>
          <w:szCs w:val="28"/>
        </w:rPr>
        <w:t xml:space="preserve">our </w:t>
      </w:r>
      <w:r w:rsidRPr="00917FEC">
        <w:rPr>
          <w:sz w:val="28"/>
          <w:szCs w:val="28"/>
        </w:rPr>
        <w:t xml:space="preserve">lexicon, much like Kleenex or Q-Tip, it would be confusing for </w:t>
      </w:r>
      <w:r w:rsidRPr="00917FEC">
        <w:rPr>
          <w:i/>
          <w:iCs/>
          <w:sz w:val="28"/>
          <w:szCs w:val="28"/>
        </w:rPr>
        <w:t>amici</w:t>
      </w:r>
      <w:r w:rsidRPr="00917FEC">
        <w:rPr>
          <w:sz w:val="28"/>
          <w:szCs w:val="28"/>
        </w:rPr>
        <w:t xml:space="preserve"> to refer to it as anything else</w:t>
      </w:r>
      <w:r w:rsidR="00224BF9" w:rsidRPr="00917FEC">
        <w:rPr>
          <w:sz w:val="28"/>
          <w:szCs w:val="28"/>
        </w:rPr>
        <w:t xml:space="preserve">, even if </w:t>
      </w:r>
      <w:r w:rsidR="00FE1BEF">
        <w:rPr>
          <w:sz w:val="28"/>
          <w:szCs w:val="28"/>
        </w:rPr>
        <w:t>technically inaccurate</w:t>
      </w:r>
      <w:r w:rsidRPr="00917FEC">
        <w:rPr>
          <w:sz w:val="28"/>
          <w:szCs w:val="28"/>
        </w:rPr>
        <w:t>.</w:t>
      </w:r>
      <w:r w:rsidR="00AC34B7" w:rsidRPr="00917FEC">
        <w:rPr>
          <w:sz w:val="28"/>
          <w:szCs w:val="28"/>
        </w:rPr>
        <w:t xml:space="preserve"> </w:t>
      </w:r>
      <w:r w:rsidR="00AC34B7" w:rsidRPr="00917FEC">
        <w:rPr>
          <w:i/>
          <w:iCs/>
          <w:sz w:val="28"/>
          <w:szCs w:val="28"/>
        </w:rPr>
        <w:t>See</w:t>
      </w:r>
      <w:r w:rsidR="00AC34B7" w:rsidRPr="00917FEC">
        <w:rPr>
          <w:sz w:val="28"/>
          <w:szCs w:val="28"/>
        </w:rPr>
        <w:t xml:space="preserve"> Kate Conger, </w:t>
      </w:r>
      <w:r w:rsidR="00AC34B7" w:rsidRPr="00917FEC">
        <w:rPr>
          <w:i/>
          <w:iCs/>
          <w:sz w:val="28"/>
          <w:szCs w:val="28"/>
        </w:rPr>
        <w:t>So What Do We Call Twitter Now Anyway?</w:t>
      </w:r>
      <w:r w:rsidR="00AC34B7" w:rsidRPr="00917FEC">
        <w:rPr>
          <w:sz w:val="28"/>
          <w:szCs w:val="28"/>
        </w:rPr>
        <w:t xml:space="preserve">, </w:t>
      </w:r>
      <w:r w:rsidR="00AC34B7" w:rsidRPr="00917FEC">
        <w:rPr>
          <w:smallCaps/>
          <w:sz w:val="28"/>
          <w:szCs w:val="28"/>
        </w:rPr>
        <w:t>New York Times</w:t>
      </w:r>
      <w:r w:rsidR="00AC34B7" w:rsidRPr="00917FEC">
        <w:rPr>
          <w:sz w:val="28"/>
          <w:szCs w:val="28"/>
        </w:rPr>
        <w:t xml:space="preserve">, Aug. 3, 2023, </w:t>
      </w:r>
      <w:hyperlink r:id="rId1" w:history="1">
        <w:r w:rsidR="00AC34B7" w:rsidRPr="00917FEC">
          <w:rPr>
            <w:rStyle w:val="Hyperlink"/>
            <w:sz w:val="28"/>
            <w:szCs w:val="28"/>
          </w:rPr>
          <w:t>https://www.nytimes.com/2023/08/03/technology/twitter-x-tweets-elon-musk.html</w:t>
        </w:r>
      </w:hyperlink>
      <w:r w:rsidR="00AC34B7" w:rsidRPr="00917FEC">
        <w:rPr>
          <w:sz w:val="28"/>
          <w:szCs w:val="28"/>
        </w:rPr>
        <w:t>.</w:t>
      </w:r>
    </w:p>
    <w:p w14:paraId="0DDC967B" w14:textId="77777777" w:rsidR="00521C57" w:rsidRPr="00917FEC" w:rsidRDefault="00521C57" w:rsidP="00917FEC">
      <w:pPr>
        <w:pStyle w:val="FootnoteText"/>
        <w:ind w:left="360" w:hanging="360"/>
        <w:rPr>
          <w:sz w:val="28"/>
          <w:szCs w:val="28"/>
        </w:rPr>
      </w:pPr>
    </w:p>
  </w:footnote>
  <w:footnote w:id="5">
    <w:p w14:paraId="7675CBC6" w14:textId="016ED748" w:rsidR="00192AF8" w:rsidRDefault="00192AF8" w:rsidP="00917FEC">
      <w:pPr>
        <w:pStyle w:val="FootnoteText"/>
        <w:ind w:left="360" w:hanging="360"/>
        <w:rPr>
          <w:sz w:val="28"/>
          <w:szCs w:val="28"/>
        </w:rPr>
      </w:pPr>
      <w:r w:rsidRPr="00917FEC">
        <w:rPr>
          <w:rStyle w:val="FootnoteReference"/>
          <w:sz w:val="28"/>
          <w:szCs w:val="28"/>
          <w:vertAlign w:val="baseline"/>
        </w:rPr>
        <w:footnoteRef/>
      </w:r>
      <w:r w:rsidRPr="00917FEC">
        <w:rPr>
          <w:sz w:val="28"/>
          <w:szCs w:val="28"/>
        </w:rPr>
        <w:t>.</w:t>
      </w:r>
      <w:r w:rsidRPr="00917FEC">
        <w:rPr>
          <w:sz w:val="28"/>
          <w:szCs w:val="28"/>
        </w:rPr>
        <w:tab/>
        <w:t xml:space="preserve">While </w:t>
      </w:r>
      <w:r w:rsidRPr="00917FEC">
        <w:rPr>
          <w:i/>
          <w:iCs/>
          <w:sz w:val="28"/>
          <w:szCs w:val="28"/>
        </w:rPr>
        <w:t>amici</w:t>
      </w:r>
      <w:r w:rsidRPr="00917FEC">
        <w:rPr>
          <w:sz w:val="28"/>
          <w:szCs w:val="28"/>
        </w:rPr>
        <w:t xml:space="preserve"> are not delving into a deep discussion of the </w:t>
      </w:r>
      <w:r w:rsidR="00F04131" w:rsidRPr="00917FEC">
        <w:rPr>
          <w:sz w:val="28"/>
          <w:szCs w:val="28"/>
        </w:rPr>
        <w:t>A</w:t>
      </w:r>
      <w:r w:rsidR="005638D5" w:rsidRPr="00917FEC">
        <w:rPr>
          <w:sz w:val="28"/>
          <w:szCs w:val="28"/>
        </w:rPr>
        <w:t xml:space="preserve">ppellants’ </w:t>
      </w:r>
      <w:r w:rsidRPr="00917FEC">
        <w:rPr>
          <w:sz w:val="28"/>
          <w:szCs w:val="28"/>
        </w:rPr>
        <w:t>likelihood of success on the merits of the underlying appeal</w:t>
      </w:r>
      <w:r w:rsidR="00F04131" w:rsidRPr="00917FEC">
        <w:rPr>
          <w:sz w:val="28"/>
          <w:szCs w:val="28"/>
        </w:rPr>
        <w:t xml:space="preserve"> and leave that to </w:t>
      </w:r>
      <w:r w:rsidR="00966AA6">
        <w:rPr>
          <w:sz w:val="28"/>
          <w:szCs w:val="28"/>
        </w:rPr>
        <w:t>plaintiffs</w:t>
      </w:r>
      <w:r w:rsidRPr="00917FEC">
        <w:rPr>
          <w:sz w:val="28"/>
          <w:szCs w:val="28"/>
        </w:rPr>
        <w:t xml:space="preserve">, we do note that it is not entirely clear whether </w:t>
      </w:r>
      <w:r w:rsidR="00982646" w:rsidRPr="00917FEC">
        <w:rPr>
          <w:sz w:val="28"/>
          <w:szCs w:val="28"/>
        </w:rPr>
        <w:t xml:space="preserve">appellants themselves believe that they </w:t>
      </w:r>
      <w:r w:rsidR="00F04131" w:rsidRPr="00917FEC">
        <w:rPr>
          <w:sz w:val="28"/>
          <w:szCs w:val="28"/>
        </w:rPr>
        <w:t>are likely (or even want to) succeed</w:t>
      </w:r>
      <w:r w:rsidR="00982646" w:rsidRPr="00917FEC">
        <w:rPr>
          <w:sz w:val="28"/>
          <w:szCs w:val="28"/>
        </w:rPr>
        <w:t xml:space="preserve">. Specifically, </w:t>
      </w:r>
      <w:r w:rsidR="00F04131" w:rsidRPr="00917FEC">
        <w:rPr>
          <w:sz w:val="28"/>
          <w:szCs w:val="28"/>
        </w:rPr>
        <w:t xml:space="preserve">Mr. Durkin tweeted that “Many county clerks in New Jersey are concerned…not on the constitutionality of this ruling but based on the late timing . . . .” </w:t>
      </w:r>
      <w:r w:rsidR="003C4DBE" w:rsidRPr="00917FEC">
        <w:rPr>
          <w:sz w:val="28"/>
          <w:szCs w:val="28"/>
        </w:rPr>
        <w:t>Chris Durkin, Twitter</w:t>
      </w:r>
      <w:r w:rsidR="0040086A" w:rsidRPr="00917FEC">
        <w:rPr>
          <w:sz w:val="28"/>
          <w:szCs w:val="28"/>
        </w:rPr>
        <w:t xml:space="preserve"> </w:t>
      </w:r>
      <w:r w:rsidR="003C4DBE" w:rsidRPr="00917FEC">
        <w:rPr>
          <w:sz w:val="28"/>
          <w:szCs w:val="28"/>
        </w:rPr>
        <w:t>(Mar. 31, 2024, 9:39 PM),</w:t>
      </w:r>
      <w:r w:rsidR="003C0316" w:rsidRPr="00917FEC">
        <w:rPr>
          <w:sz w:val="28"/>
          <w:szCs w:val="28"/>
        </w:rPr>
        <w:t xml:space="preserve"> </w:t>
      </w:r>
      <w:hyperlink r:id="rId2" w:history="1">
        <w:r w:rsidR="00A67166" w:rsidRPr="00917FEC">
          <w:rPr>
            <w:rStyle w:val="Hyperlink"/>
            <w:sz w:val="28"/>
            <w:szCs w:val="28"/>
          </w:rPr>
          <w:t>https://twitter.com/ChrisJDurkin/status/1774612501499441321</w:t>
        </w:r>
      </w:hyperlink>
      <w:r w:rsidR="003C4DBE" w:rsidRPr="00917FEC">
        <w:rPr>
          <w:sz w:val="28"/>
          <w:szCs w:val="28"/>
        </w:rPr>
        <w:t>.</w:t>
      </w:r>
      <w:r w:rsidR="003C0316" w:rsidRPr="00917FEC">
        <w:rPr>
          <w:sz w:val="28"/>
          <w:szCs w:val="28"/>
        </w:rPr>
        <w:t xml:space="preserve"> </w:t>
      </w:r>
      <w:r w:rsidR="00F04131" w:rsidRPr="00917FEC">
        <w:rPr>
          <w:sz w:val="28"/>
          <w:szCs w:val="28"/>
        </w:rPr>
        <w:t>Ms.</w:t>
      </w:r>
      <w:r w:rsidR="00C03AC6" w:rsidRPr="00917FEC">
        <w:rPr>
          <w:sz w:val="28"/>
          <w:szCs w:val="28"/>
        </w:rPr>
        <w:t> </w:t>
      </w:r>
      <w:r w:rsidR="00F04131" w:rsidRPr="00917FEC">
        <w:rPr>
          <w:sz w:val="28"/>
          <w:szCs w:val="28"/>
        </w:rPr>
        <w:t>Sollami Covello tweeted that “we,” referring to “many other county clerks” were appealing “the ‘injunction’” based on its timing “and not his ultimate ruling on the ‘line.’”</w:t>
      </w:r>
      <w:r w:rsidR="003C0316" w:rsidRPr="00917FEC">
        <w:rPr>
          <w:sz w:val="28"/>
          <w:szCs w:val="28"/>
        </w:rPr>
        <w:t xml:space="preserve"> Paula Sollami Covello, Twitter (Apr. 1, 2024, 2:32 PM), </w:t>
      </w:r>
      <w:hyperlink r:id="rId3" w:history="1">
        <w:r w:rsidR="003C0316" w:rsidRPr="00917FEC">
          <w:rPr>
            <w:rStyle w:val="Hyperlink"/>
            <w:sz w:val="28"/>
            <w:szCs w:val="28"/>
          </w:rPr>
          <w:t>https://twitter.com/MercerClerk/status/1774867492663357528</w:t>
        </w:r>
      </w:hyperlink>
      <w:r w:rsidR="003C0316" w:rsidRPr="00917FEC">
        <w:rPr>
          <w:sz w:val="28"/>
          <w:szCs w:val="28"/>
        </w:rPr>
        <w:t xml:space="preserve">. </w:t>
      </w:r>
      <w:r w:rsidR="00F04131" w:rsidRPr="00917FEC">
        <w:rPr>
          <w:sz w:val="28"/>
          <w:szCs w:val="28"/>
        </w:rPr>
        <w:t>If Appellants are not challenging the underlying decision</w:t>
      </w:r>
      <w:r w:rsidR="003C0316" w:rsidRPr="00917FEC">
        <w:rPr>
          <w:sz w:val="28"/>
          <w:szCs w:val="28"/>
        </w:rPr>
        <w:t xml:space="preserve"> by the District Court</w:t>
      </w:r>
      <w:r w:rsidR="00F04131" w:rsidRPr="00917FEC">
        <w:rPr>
          <w:sz w:val="28"/>
          <w:szCs w:val="28"/>
        </w:rPr>
        <w:t>, or even support it, in the case of Mr. Durkin, then they cannot possibly show a likelihood of success on the merits</w:t>
      </w:r>
      <w:r w:rsidR="005A1A89" w:rsidRPr="00917FEC">
        <w:rPr>
          <w:sz w:val="28"/>
          <w:szCs w:val="28"/>
        </w:rPr>
        <w:t xml:space="preserve"> since they are not challenging the merits at all.</w:t>
      </w:r>
    </w:p>
    <w:p w14:paraId="3C668AAB" w14:textId="77777777" w:rsidR="00521C57" w:rsidRPr="00917FEC" w:rsidRDefault="00521C57" w:rsidP="00917FEC">
      <w:pPr>
        <w:pStyle w:val="FootnoteText"/>
        <w:ind w:left="360" w:hanging="360"/>
        <w:rPr>
          <w:sz w:val="28"/>
          <w:szCs w:val="28"/>
        </w:rPr>
      </w:pPr>
    </w:p>
  </w:footnote>
  <w:footnote w:id="6">
    <w:p w14:paraId="04DEF898" w14:textId="1B0D66AF" w:rsidR="00681713" w:rsidRPr="00917FEC" w:rsidRDefault="00681713" w:rsidP="00917FEC">
      <w:pPr>
        <w:pStyle w:val="FootnoteText"/>
        <w:ind w:left="360" w:hanging="360"/>
        <w:rPr>
          <w:sz w:val="28"/>
          <w:szCs w:val="28"/>
        </w:rPr>
      </w:pPr>
      <w:r w:rsidRPr="00917FEC">
        <w:rPr>
          <w:rStyle w:val="FootnoteReference"/>
          <w:sz w:val="28"/>
          <w:szCs w:val="28"/>
          <w:vertAlign w:val="baseline"/>
        </w:rPr>
        <w:footnoteRef/>
      </w:r>
      <w:r w:rsidR="00917FEC">
        <w:rPr>
          <w:sz w:val="28"/>
          <w:szCs w:val="28"/>
        </w:rPr>
        <w:t>.</w:t>
      </w:r>
      <w:r w:rsidR="00917FEC">
        <w:rPr>
          <w:sz w:val="28"/>
          <w:szCs w:val="28"/>
        </w:rPr>
        <w:tab/>
      </w:r>
      <w:r w:rsidRPr="00917FEC">
        <w:rPr>
          <w:sz w:val="28"/>
          <w:szCs w:val="28"/>
        </w:rPr>
        <w:t xml:space="preserve">It should be noted that three County Clerks are up for reelection this year, in Camden, Cumberland, and Salem Counties. Joseph A. </w:t>
      </w:r>
      <w:proofErr w:type="spellStart"/>
      <w:r w:rsidRPr="00917FEC">
        <w:rPr>
          <w:sz w:val="28"/>
          <w:szCs w:val="28"/>
        </w:rPr>
        <w:t>Ripa</w:t>
      </w:r>
      <w:proofErr w:type="spellEnd"/>
      <w:r w:rsidRPr="00917FEC">
        <w:rPr>
          <w:sz w:val="28"/>
          <w:szCs w:val="28"/>
        </w:rPr>
        <w:t>, the Camden County Clerk, has been endorsed by the CCDC</w:t>
      </w:r>
      <w:r w:rsidR="00AD2B2C" w:rsidRPr="00917FEC">
        <w:rPr>
          <w:sz w:val="28"/>
          <w:szCs w:val="28"/>
        </w:rPr>
        <w:t>. I</w:t>
      </w:r>
      <w:r w:rsidRPr="00917FEC">
        <w:rPr>
          <w:sz w:val="28"/>
          <w:szCs w:val="28"/>
        </w:rPr>
        <w:t xml:space="preserve">f the stay is granted, </w:t>
      </w:r>
      <w:r w:rsidR="000409F5" w:rsidRPr="00917FEC">
        <w:rPr>
          <w:sz w:val="28"/>
          <w:szCs w:val="28"/>
        </w:rPr>
        <w:t xml:space="preserve">he </w:t>
      </w:r>
      <w:r w:rsidRPr="00917FEC">
        <w:rPr>
          <w:sz w:val="28"/>
          <w:szCs w:val="28"/>
        </w:rPr>
        <w:t xml:space="preserve">will be placed on the </w:t>
      </w:r>
      <w:r w:rsidR="00AD2B2C" w:rsidRPr="00917FEC">
        <w:rPr>
          <w:sz w:val="28"/>
          <w:szCs w:val="28"/>
        </w:rPr>
        <w:t xml:space="preserve">county </w:t>
      </w:r>
      <w:r w:rsidRPr="00917FEC">
        <w:rPr>
          <w:sz w:val="28"/>
          <w:szCs w:val="28"/>
        </w:rPr>
        <w:t>line</w:t>
      </w:r>
      <w:r w:rsidR="00AD2B2C" w:rsidRPr="00917FEC">
        <w:rPr>
          <w:sz w:val="28"/>
          <w:szCs w:val="28"/>
        </w:rPr>
        <w:t xml:space="preserve"> and given preferential ballot placement.</w:t>
      </w:r>
      <w:r w:rsidR="00917FEC">
        <w:rPr>
          <w:sz w:val="28"/>
          <w:szCs w:val="28"/>
        </w:rPr>
        <w:t xml:space="preserve"> If the stay is denied, since the CCDC is not bracketed with a Senate candidate, they will be in “Ballot Siberia,” no higher than </w:t>
      </w:r>
      <w:r w:rsidR="00486166">
        <w:rPr>
          <w:sz w:val="28"/>
          <w:szCs w:val="28"/>
        </w:rPr>
        <w:t>Column D</w:t>
      </w:r>
      <w:r w:rsidR="00917FEC">
        <w:rPr>
          <w:sz w:val="28"/>
          <w:szCs w:val="28"/>
        </w:rPr>
        <w:t>.</w:t>
      </w:r>
      <w:r w:rsidR="00AD2B2C" w:rsidRPr="00917FEC">
        <w:rPr>
          <w:sz w:val="28"/>
          <w:szCs w:val="28"/>
        </w:rPr>
        <w:t xml:space="preserve"> </w:t>
      </w:r>
      <w:r w:rsidR="00AD2B2C" w:rsidRPr="00917FEC">
        <w:rPr>
          <w:i/>
          <w:iCs/>
          <w:sz w:val="28"/>
          <w:szCs w:val="28"/>
        </w:rPr>
        <w:t>Amici</w:t>
      </w:r>
      <w:r w:rsidR="00AD2B2C" w:rsidRPr="00917FEC">
        <w:rPr>
          <w:sz w:val="28"/>
          <w:szCs w:val="28"/>
        </w:rPr>
        <w:t xml:space="preserve"> submit</w:t>
      </w:r>
      <w:r w:rsidR="000409F5" w:rsidRPr="00917FEC">
        <w:rPr>
          <w:sz w:val="28"/>
          <w:szCs w:val="28"/>
        </w:rPr>
        <w:t xml:space="preserve">s </w:t>
      </w:r>
      <w:r w:rsidR="00AD2B2C" w:rsidRPr="00917FEC">
        <w:rPr>
          <w:sz w:val="28"/>
          <w:szCs w:val="28"/>
        </w:rPr>
        <w:t>that this interest might explain the CCDC’s zeal to intervene in the case</w:t>
      </w:r>
      <w:r w:rsidR="00A91F94" w:rsidRPr="00917FEC">
        <w:rPr>
          <w:sz w:val="28"/>
          <w:szCs w:val="28"/>
        </w:rPr>
        <w:t xml:space="preserve"> and is emblematic of the conflicts associated with the County Clerks’ defense of the county line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696A" w14:textId="77777777" w:rsidR="0044528A" w:rsidRDefault="00445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E80E" w14:textId="77777777" w:rsidR="0044528A" w:rsidRDefault="00445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128C" w14:textId="77777777" w:rsidR="0044528A" w:rsidRDefault="004452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6EF9" w14:textId="77777777" w:rsidR="0044528A" w:rsidRDefault="00445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6F97"/>
    <w:multiLevelType w:val="hybridMultilevel"/>
    <w:tmpl w:val="5986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54CA2"/>
    <w:multiLevelType w:val="multilevel"/>
    <w:tmpl w:val="30FCB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05C1C"/>
    <w:multiLevelType w:val="hybridMultilevel"/>
    <w:tmpl w:val="6840CFBE"/>
    <w:lvl w:ilvl="0" w:tplc="CEC4B02E">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05BCE"/>
    <w:multiLevelType w:val="hybridMultilevel"/>
    <w:tmpl w:val="AEAC920C"/>
    <w:lvl w:ilvl="0" w:tplc="59046F32">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F645AA"/>
    <w:multiLevelType w:val="hybridMultilevel"/>
    <w:tmpl w:val="9E442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55015"/>
    <w:multiLevelType w:val="hybridMultilevel"/>
    <w:tmpl w:val="F47CEF4C"/>
    <w:lvl w:ilvl="0" w:tplc="EA821F4C">
      <w:start w:val="1"/>
      <w:numFmt w:val="decimal"/>
      <w:lvlText w:val="%1."/>
      <w:lvlJc w:val="left"/>
      <w:pPr>
        <w:ind w:left="1020" w:hanging="360"/>
      </w:pPr>
    </w:lvl>
    <w:lvl w:ilvl="1" w:tplc="ECA4F8B4">
      <w:start w:val="1"/>
      <w:numFmt w:val="decimal"/>
      <w:lvlText w:val="%2."/>
      <w:lvlJc w:val="left"/>
      <w:pPr>
        <w:ind w:left="1020" w:hanging="360"/>
      </w:pPr>
    </w:lvl>
    <w:lvl w:ilvl="2" w:tplc="CB80920C">
      <w:start w:val="1"/>
      <w:numFmt w:val="decimal"/>
      <w:lvlText w:val="%3."/>
      <w:lvlJc w:val="left"/>
      <w:pPr>
        <w:ind w:left="1020" w:hanging="360"/>
      </w:pPr>
    </w:lvl>
    <w:lvl w:ilvl="3" w:tplc="7E70F6E2">
      <w:start w:val="1"/>
      <w:numFmt w:val="decimal"/>
      <w:lvlText w:val="%4."/>
      <w:lvlJc w:val="left"/>
      <w:pPr>
        <w:ind w:left="1020" w:hanging="360"/>
      </w:pPr>
    </w:lvl>
    <w:lvl w:ilvl="4" w:tplc="EA462EBA">
      <w:start w:val="1"/>
      <w:numFmt w:val="decimal"/>
      <w:lvlText w:val="%5."/>
      <w:lvlJc w:val="left"/>
      <w:pPr>
        <w:ind w:left="1020" w:hanging="360"/>
      </w:pPr>
    </w:lvl>
    <w:lvl w:ilvl="5" w:tplc="ED624A9A">
      <w:start w:val="1"/>
      <w:numFmt w:val="decimal"/>
      <w:lvlText w:val="%6."/>
      <w:lvlJc w:val="left"/>
      <w:pPr>
        <w:ind w:left="1020" w:hanging="360"/>
      </w:pPr>
    </w:lvl>
    <w:lvl w:ilvl="6" w:tplc="8AD6BB48">
      <w:start w:val="1"/>
      <w:numFmt w:val="decimal"/>
      <w:lvlText w:val="%7."/>
      <w:lvlJc w:val="left"/>
      <w:pPr>
        <w:ind w:left="1020" w:hanging="360"/>
      </w:pPr>
    </w:lvl>
    <w:lvl w:ilvl="7" w:tplc="2B12B6FA">
      <w:start w:val="1"/>
      <w:numFmt w:val="decimal"/>
      <w:lvlText w:val="%8."/>
      <w:lvlJc w:val="left"/>
      <w:pPr>
        <w:ind w:left="1020" w:hanging="360"/>
      </w:pPr>
    </w:lvl>
    <w:lvl w:ilvl="8" w:tplc="43F6B410">
      <w:start w:val="1"/>
      <w:numFmt w:val="decimal"/>
      <w:lvlText w:val="%9."/>
      <w:lvlJc w:val="left"/>
      <w:pPr>
        <w:ind w:left="1020" w:hanging="360"/>
      </w:pPr>
    </w:lvl>
  </w:abstractNum>
  <w:abstractNum w:abstractNumId="6" w15:restartNumberingAfterBreak="0">
    <w:nsid w:val="71E36271"/>
    <w:multiLevelType w:val="hybridMultilevel"/>
    <w:tmpl w:val="5DE6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0461955">
    <w:abstractNumId w:val="1"/>
  </w:num>
  <w:num w:numId="2" w16cid:durableId="1203588695">
    <w:abstractNumId w:val="3"/>
  </w:num>
  <w:num w:numId="3" w16cid:durableId="861944227">
    <w:abstractNumId w:val="4"/>
  </w:num>
  <w:num w:numId="4" w16cid:durableId="582378535">
    <w:abstractNumId w:val="2"/>
  </w:num>
  <w:num w:numId="5" w16cid:durableId="2117827619">
    <w:abstractNumId w:val="0"/>
  </w:num>
  <w:num w:numId="6" w16cid:durableId="714811483">
    <w:abstractNumId w:val="5"/>
  </w:num>
  <w:num w:numId="7" w16cid:durableId="7403258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F2"/>
    <w:rsid w:val="00005FBE"/>
    <w:rsid w:val="00015293"/>
    <w:rsid w:val="00021BDE"/>
    <w:rsid w:val="000238BF"/>
    <w:rsid w:val="00035F0C"/>
    <w:rsid w:val="000409F5"/>
    <w:rsid w:val="00042AFD"/>
    <w:rsid w:val="000474FC"/>
    <w:rsid w:val="00047C02"/>
    <w:rsid w:val="00050293"/>
    <w:rsid w:val="000563AB"/>
    <w:rsid w:val="00063791"/>
    <w:rsid w:val="00063CC4"/>
    <w:rsid w:val="0007042F"/>
    <w:rsid w:val="00070FB5"/>
    <w:rsid w:val="0007160E"/>
    <w:rsid w:val="000828C2"/>
    <w:rsid w:val="00087FA7"/>
    <w:rsid w:val="000A1D2E"/>
    <w:rsid w:val="000B0511"/>
    <w:rsid w:val="000C4C59"/>
    <w:rsid w:val="000D771A"/>
    <w:rsid w:val="000E4470"/>
    <w:rsid w:val="000F2059"/>
    <w:rsid w:val="00103E4B"/>
    <w:rsid w:val="00107951"/>
    <w:rsid w:val="00113893"/>
    <w:rsid w:val="00114D90"/>
    <w:rsid w:val="00116751"/>
    <w:rsid w:val="001218ED"/>
    <w:rsid w:val="00125D67"/>
    <w:rsid w:val="00130501"/>
    <w:rsid w:val="001320EC"/>
    <w:rsid w:val="00134AC8"/>
    <w:rsid w:val="001353E7"/>
    <w:rsid w:val="001362FD"/>
    <w:rsid w:val="00141ECA"/>
    <w:rsid w:val="001442C7"/>
    <w:rsid w:val="0014487C"/>
    <w:rsid w:val="001478C1"/>
    <w:rsid w:val="001529D0"/>
    <w:rsid w:val="00155753"/>
    <w:rsid w:val="001562DB"/>
    <w:rsid w:val="00160B93"/>
    <w:rsid w:val="0016141F"/>
    <w:rsid w:val="00163586"/>
    <w:rsid w:val="00192AF8"/>
    <w:rsid w:val="001938BA"/>
    <w:rsid w:val="001A0ACB"/>
    <w:rsid w:val="001A3775"/>
    <w:rsid w:val="001A3D2C"/>
    <w:rsid w:val="001B53D6"/>
    <w:rsid w:val="001B5F9E"/>
    <w:rsid w:val="001C26B3"/>
    <w:rsid w:val="001C66E8"/>
    <w:rsid w:val="001D69A8"/>
    <w:rsid w:val="001E07A6"/>
    <w:rsid w:val="001E414B"/>
    <w:rsid w:val="001E4F06"/>
    <w:rsid w:val="001E5BF6"/>
    <w:rsid w:val="001F39CA"/>
    <w:rsid w:val="00224BF9"/>
    <w:rsid w:val="00231939"/>
    <w:rsid w:val="00235DB3"/>
    <w:rsid w:val="002428BD"/>
    <w:rsid w:val="00251333"/>
    <w:rsid w:val="00254B2F"/>
    <w:rsid w:val="002577D9"/>
    <w:rsid w:val="0026030D"/>
    <w:rsid w:val="00266A27"/>
    <w:rsid w:val="002719B4"/>
    <w:rsid w:val="00274E68"/>
    <w:rsid w:val="002A39F8"/>
    <w:rsid w:val="002A6390"/>
    <w:rsid w:val="002B1578"/>
    <w:rsid w:val="002C257A"/>
    <w:rsid w:val="002C3DF8"/>
    <w:rsid w:val="002D74E5"/>
    <w:rsid w:val="002D7FFE"/>
    <w:rsid w:val="002E1C17"/>
    <w:rsid w:val="002F16D0"/>
    <w:rsid w:val="002F1ABB"/>
    <w:rsid w:val="00313F33"/>
    <w:rsid w:val="00314C95"/>
    <w:rsid w:val="00317F6D"/>
    <w:rsid w:val="003270D4"/>
    <w:rsid w:val="0033175A"/>
    <w:rsid w:val="003321EE"/>
    <w:rsid w:val="003374D3"/>
    <w:rsid w:val="00345A1D"/>
    <w:rsid w:val="00346305"/>
    <w:rsid w:val="0034668E"/>
    <w:rsid w:val="00350A14"/>
    <w:rsid w:val="00352E92"/>
    <w:rsid w:val="0037507A"/>
    <w:rsid w:val="00377577"/>
    <w:rsid w:val="0038031F"/>
    <w:rsid w:val="0039284F"/>
    <w:rsid w:val="00394A58"/>
    <w:rsid w:val="00394DB5"/>
    <w:rsid w:val="003A0B65"/>
    <w:rsid w:val="003A5EBD"/>
    <w:rsid w:val="003A6DD3"/>
    <w:rsid w:val="003C0316"/>
    <w:rsid w:val="003C07F0"/>
    <w:rsid w:val="003C1DBE"/>
    <w:rsid w:val="003C2BEC"/>
    <w:rsid w:val="003C4DBE"/>
    <w:rsid w:val="003C7034"/>
    <w:rsid w:val="003E3E29"/>
    <w:rsid w:val="003F0D8F"/>
    <w:rsid w:val="003F27D2"/>
    <w:rsid w:val="0040086A"/>
    <w:rsid w:val="004027EE"/>
    <w:rsid w:val="00405292"/>
    <w:rsid w:val="00412405"/>
    <w:rsid w:val="00413B67"/>
    <w:rsid w:val="004326A3"/>
    <w:rsid w:val="0044528A"/>
    <w:rsid w:val="00445A37"/>
    <w:rsid w:val="00446133"/>
    <w:rsid w:val="00470B8A"/>
    <w:rsid w:val="004751CC"/>
    <w:rsid w:val="00475262"/>
    <w:rsid w:val="00475AB0"/>
    <w:rsid w:val="00483196"/>
    <w:rsid w:val="004844E2"/>
    <w:rsid w:val="00486166"/>
    <w:rsid w:val="00492986"/>
    <w:rsid w:val="004A1074"/>
    <w:rsid w:val="004A4F07"/>
    <w:rsid w:val="004A70D5"/>
    <w:rsid w:val="004B3D44"/>
    <w:rsid w:val="004C0604"/>
    <w:rsid w:val="004C4F2F"/>
    <w:rsid w:val="004C600D"/>
    <w:rsid w:val="004C794B"/>
    <w:rsid w:val="004D1190"/>
    <w:rsid w:val="004D31A3"/>
    <w:rsid w:val="004D54C3"/>
    <w:rsid w:val="004E6218"/>
    <w:rsid w:val="004F1895"/>
    <w:rsid w:val="00502268"/>
    <w:rsid w:val="00514FE3"/>
    <w:rsid w:val="00515F32"/>
    <w:rsid w:val="0052003B"/>
    <w:rsid w:val="00521C57"/>
    <w:rsid w:val="00525D05"/>
    <w:rsid w:val="00526ABD"/>
    <w:rsid w:val="00526E6C"/>
    <w:rsid w:val="00534F7B"/>
    <w:rsid w:val="00543895"/>
    <w:rsid w:val="005467EC"/>
    <w:rsid w:val="0054744A"/>
    <w:rsid w:val="00547A8D"/>
    <w:rsid w:val="005533B7"/>
    <w:rsid w:val="0055481A"/>
    <w:rsid w:val="005550A7"/>
    <w:rsid w:val="00555258"/>
    <w:rsid w:val="0055693D"/>
    <w:rsid w:val="0056118D"/>
    <w:rsid w:val="005638D5"/>
    <w:rsid w:val="0056468A"/>
    <w:rsid w:val="005668F5"/>
    <w:rsid w:val="00567ECD"/>
    <w:rsid w:val="00572787"/>
    <w:rsid w:val="00576C08"/>
    <w:rsid w:val="0057749F"/>
    <w:rsid w:val="00577B53"/>
    <w:rsid w:val="005804FC"/>
    <w:rsid w:val="00580AB0"/>
    <w:rsid w:val="00590031"/>
    <w:rsid w:val="0059055D"/>
    <w:rsid w:val="00596D39"/>
    <w:rsid w:val="005A1A89"/>
    <w:rsid w:val="005B5AAF"/>
    <w:rsid w:val="005C2FA9"/>
    <w:rsid w:val="005C7D95"/>
    <w:rsid w:val="005D1565"/>
    <w:rsid w:val="005D208B"/>
    <w:rsid w:val="005D42C7"/>
    <w:rsid w:val="005E08DB"/>
    <w:rsid w:val="005E16A6"/>
    <w:rsid w:val="005E6078"/>
    <w:rsid w:val="005E76F1"/>
    <w:rsid w:val="00600FBC"/>
    <w:rsid w:val="0060226F"/>
    <w:rsid w:val="0061095A"/>
    <w:rsid w:val="00624A3C"/>
    <w:rsid w:val="00625182"/>
    <w:rsid w:val="00627C83"/>
    <w:rsid w:val="00632036"/>
    <w:rsid w:val="006373C9"/>
    <w:rsid w:val="00642CD3"/>
    <w:rsid w:val="00642FF2"/>
    <w:rsid w:val="00655950"/>
    <w:rsid w:val="00661714"/>
    <w:rsid w:val="00667DA0"/>
    <w:rsid w:val="0068097E"/>
    <w:rsid w:val="00681713"/>
    <w:rsid w:val="00682594"/>
    <w:rsid w:val="0068725A"/>
    <w:rsid w:val="006924B8"/>
    <w:rsid w:val="00697199"/>
    <w:rsid w:val="006D3CF6"/>
    <w:rsid w:val="006D43AD"/>
    <w:rsid w:val="006D569A"/>
    <w:rsid w:val="006D65A4"/>
    <w:rsid w:val="006E760A"/>
    <w:rsid w:val="006F0552"/>
    <w:rsid w:val="006F107F"/>
    <w:rsid w:val="00702103"/>
    <w:rsid w:val="00705545"/>
    <w:rsid w:val="007224AF"/>
    <w:rsid w:val="00724405"/>
    <w:rsid w:val="00742AB9"/>
    <w:rsid w:val="00744C46"/>
    <w:rsid w:val="00756644"/>
    <w:rsid w:val="007605A6"/>
    <w:rsid w:val="007647DE"/>
    <w:rsid w:val="00766667"/>
    <w:rsid w:val="007733EC"/>
    <w:rsid w:val="00776BC7"/>
    <w:rsid w:val="007848A8"/>
    <w:rsid w:val="007919B7"/>
    <w:rsid w:val="007962DB"/>
    <w:rsid w:val="007966AB"/>
    <w:rsid w:val="0079689A"/>
    <w:rsid w:val="0079752D"/>
    <w:rsid w:val="007A234D"/>
    <w:rsid w:val="007A3102"/>
    <w:rsid w:val="007A4DDD"/>
    <w:rsid w:val="007B2AA5"/>
    <w:rsid w:val="007B3D38"/>
    <w:rsid w:val="007B5DD0"/>
    <w:rsid w:val="007D2F77"/>
    <w:rsid w:val="007E742A"/>
    <w:rsid w:val="00806D33"/>
    <w:rsid w:val="0081337F"/>
    <w:rsid w:val="00815CDE"/>
    <w:rsid w:val="0082276D"/>
    <w:rsid w:val="00823721"/>
    <w:rsid w:val="008410D1"/>
    <w:rsid w:val="00842C67"/>
    <w:rsid w:val="0084686D"/>
    <w:rsid w:val="0085172D"/>
    <w:rsid w:val="00860B83"/>
    <w:rsid w:val="008647E0"/>
    <w:rsid w:val="00864ECF"/>
    <w:rsid w:val="008677CD"/>
    <w:rsid w:val="00867F9B"/>
    <w:rsid w:val="00871E0A"/>
    <w:rsid w:val="00876D5E"/>
    <w:rsid w:val="00882ECC"/>
    <w:rsid w:val="00883380"/>
    <w:rsid w:val="0089186F"/>
    <w:rsid w:val="008935D1"/>
    <w:rsid w:val="008A30FA"/>
    <w:rsid w:val="008B1226"/>
    <w:rsid w:val="008B6C12"/>
    <w:rsid w:val="008C7ADF"/>
    <w:rsid w:val="008D1A4E"/>
    <w:rsid w:val="008D1FC4"/>
    <w:rsid w:val="008F506C"/>
    <w:rsid w:val="00913EE4"/>
    <w:rsid w:val="0091471F"/>
    <w:rsid w:val="00917721"/>
    <w:rsid w:val="00917FEC"/>
    <w:rsid w:val="00921480"/>
    <w:rsid w:val="00921D6F"/>
    <w:rsid w:val="00932864"/>
    <w:rsid w:val="00933699"/>
    <w:rsid w:val="00942356"/>
    <w:rsid w:val="00942A56"/>
    <w:rsid w:val="0094607A"/>
    <w:rsid w:val="0094670B"/>
    <w:rsid w:val="00961263"/>
    <w:rsid w:val="00962509"/>
    <w:rsid w:val="00962D75"/>
    <w:rsid w:val="0096452A"/>
    <w:rsid w:val="00966AA6"/>
    <w:rsid w:val="00967CDB"/>
    <w:rsid w:val="00977743"/>
    <w:rsid w:val="00982646"/>
    <w:rsid w:val="00984DE7"/>
    <w:rsid w:val="00997626"/>
    <w:rsid w:val="009A6F0C"/>
    <w:rsid w:val="009C1D5D"/>
    <w:rsid w:val="009C378A"/>
    <w:rsid w:val="009C7151"/>
    <w:rsid w:val="009D32E5"/>
    <w:rsid w:val="009E2095"/>
    <w:rsid w:val="009F519B"/>
    <w:rsid w:val="009F5977"/>
    <w:rsid w:val="009F6D12"/>
    <w:rsid w:val="00A06686"/>
    <w:rsid w:val="00A0755E"/>
    <w:rsid w:val="00A12CE6"/>
    <w:rsid w:val="00A138B4"/>
    <w:rsid w:val="00A156D6"/>
    <w:rsid w:val="00A15B9C"/>
    <w:rsid w:val="00A1641F"/>
    <w:rsid w:val="00A17F6C"/>
    <w:rsid w:val="00A20507"/>
    <w:rsid w:val="00A21020"/>
    <w:rsid w:val="00A22770"/>
    <w:rsid w:val="00A34229"/>
    <w:rsid w:val="00A413A6"/>
    <w:rsid w:val="00A46748"/>
    <w:rsid w:val="00A506D1"/>
    <w:rsid w:val="00A507B1"/>
    <w:rsid w:val="00A66A0D"/>
    <w:rsid w:val="00A67166"/>
    <w:rsid w:val="00A675DC"/>
    <w:rsid w:val="00A740A3"/>
    <w:rsid w:val="00A845BC"/>
    <w:rsid w:val="00A91F94"/>
    <w:rsid w:val="00A9208F"/>
    <w:rsid w:val="00A948F1"/>
    <w:rsid w:val="00A977A9"/>
    <w:rsid w:val="00AA1355"/>
    <w:rsid w:val="00AB407D"/>
    <w:rsid w:val="00AC21C5"/>
    <w:rsid w:val="00AC34B7"/>
    <w:rsid w:val="00AC44F9"/>
    <w:rsid w:val="00AC5E9F"/>
    <w:rsid w:val="00AD2B2C"/>
    <w:rsid w:val="00AE02D8"/>
    <w:rsid w:val="00AE5302"/>
    <w:rsid w:val="00AE55C6"/>
    <w:rsid w:val="00AE56A7"/>
    <w:rsid w:val="00AE598F"/>
    <w:rsid w:val="00AE6325"/>
    <w:rsid w:val="00AE69D0"/>
    <w:rsid w:val="00AE6F22"/>
    <w:rsid w:val="00AE7BEE"/>
    <w:rsid w:val="00AF5072"/>
    <w:rsid w:val="00B02922"/>
    <w:rsid w:val="00B1674E"/>
    <w:rsid w:val="00B24E36"/>
    <w:rsid w:val="00B24F06"/>
    <w:rsid w:val="00B32CE6"/>
    <w:rsid w:val="00B33148"/>
    <w:rsid w:val="00B3541F"/>
    <w:rsid w:val="00B36706"/>
    <w:rsid w:val="00B4529D"/>
    <w:rsid w:val="00B47055"/>
    <w:rsid w:val="00B502EF"/>
    <w:rsid w:val="00B631FA"/>
    <w:rsid w:val="00B72D8B"/>
    <w:rsid w:val="00B76814"/>
    <w:rsid w:val="00B77199"/>
    <w:rsid w:val="00B82CA7"/>
    <w:rsid w:val="00B97620"/>
    <w:rsid w:val="00BA0102"/>
    <w:rsid w:val="00BA0BE8"/>
    <w:rsid w:val="00BA36BC"/>
    <w:rsid w:val="00BA440E"/>
    <w:rsid w:val="00BB61CC"/>
    <w:rsid w:val="00BB7EA1"/>
    <w:rsid w:val="00BC545D"/>
    <w:rsid w:val="00BC7F9F"/>
    <w:rsid w:val="00BD50F9"/>
    <w:rsid w:val="00BE2B62"/>
    <w:rsid w:val="00BE483C"/>
    <w:rsid w:val="00BE49A2"/>
    <w:rsid w:val="00BE7F75"/>
    <w:rsid w:val="00C0037A"/>
    <w:rsid w:val="00C01036"/>
    <w:rsid w:val="00C01AFC"/>
    <w:rsid w:val="00C03AC6"/>
    <w:rsid w:val="00C12E92"/>
    <w:rsid w:val="00C13773"/>
    <w:rsid w:val="00C2395C"/>
    <w:rsid w:val="00C3317C"/>
    <w:rsid w:val="00C40C3F"/>
    <w:rsid w:val="00C424B1"/>
    <w:rsid w:val="00C51500"/>
    <w:rsid w:val="00C517ED"/>
    <w:rsid w:val="00C5501A"/>
    <w:rsid w:val="00C6427E"/>
    <w:rsid w:val="00C70425"/>
    <w:rsid w:val="00C71476"/>
    <w:rsid w:val="00C73CE0"/>
    <w:rsid w:val="00C775A4"/>
    <w:rsid w:val="00C80B82"/>
    <w:rsid w:val="00C80C67"/>
    <w:rsid w:val="00C92E78"/>
    <w:rsid w:val="00C96A3F"/>
    <w:rsid w:val="00CA454B"/>
    <w:rsid w:val="00CA6A16"/>
    <w:rsid w:val="00CD4D22"/>
    <w:rsid w:val="00CF37B9"/>
    <w:rsid w:val="00D048B5"/>
    <w:rsid w:val="00D2353D"/>
    <w:rsid w:val="00D23662"/>
    <w:rsid w:val="00D278FB"/>
    <w:rsid w:val="00D305AF"/>
    <w:rsid w:val="00D306D0"/>
    <w:rsid w:val="00D350FB"/>
    <w:rsid w:val="00D45593"/>
    <w:rsid w:val="00D45EA3"/>
    <w:rsid w:val="00D53085"/>
    <w:rsid w:val="00D563B8"/>
    <w:rsid w:val="00D611A3"/>
    <w:rsid w:val="00D65C1D"/>
    <w:rsid w:val="00D72389"/>
    <w:rsid w:val="00D749EA"/>
    <w:rsid w:val="00D74EF5"/>
    <w:rsid w:val="00D77D28"/>
    <w:rsid w:val="00D8324D"/>
    <w:rsid w:val="00D84BAB"/>
    <w:rsid w:val="00D94322"/>
    <w:rsid w:val="00DD45B3"/>
    <w:rsid w:val="00DD518D"/>
    <w:rsid w:val="00DD6000"/>
    <w:rsid w:val="00E14111"/>
    <w:rsid w:val="00E23C8C"/>
    <w:rsid w:val="00E32B35"/>
    <w:rsid w:val="00E3749C"/>
    <w:rsid w:val="00E402F7"/>
    <w:rsid w:val="00E46D7A"/>
    <w:rsid w:val="00E5067E"/>
    <w:rsid w:val="00E60863"/>
    <w:rsid w:val="00E64624"/>
    <w:rsid w:val="00E71E1D"/>
    <w:rsid w:val="00E755B9"/>
    <w:rsid w:val="00E75FE8"/>
    <w:rsid w:val="00E7671D"/>
    <w:rsid w:val="00E76E7D"/>
    <w:rsid w:val="00E7762A"/>
    <w:rsid w:val="00E8154C"/>
    <w:rsid w:val="00E87858"/>
    <w:rsid w:val="00E87B9C"/>
    <w:rsid w:val="00E91F8D"/>
    <w:rsid w:val="00E93DA4"/>
    <w:rsid w:val="00EA0216"/>
    <w:rsid w:val="00EA6658"/>
    <w:rsid w:val="00EB0E40"/>
    <w:rsid w:val="00EC0967"/>
    <w:rsid w:val="00EC0993"/>
    <w:rsid w:val="00EC1394"/>
    <w:rsid w:val="00EC53A5"/>
    <w:rsid w:val="00ED5D85"/>
    <w:rsid w:val="00EF3F5A"/>
    <w:rsid w:val="00F04131"/>
    <w:rsid w:val="00F04ED1"/>
    <w:rsid w:val="00F1551E"/>
    <w:rsid w:val="00F20203"/>
    <w:rsid w:val="00F279F6"/>
    <w:rsid w:val="00F429F5"/>
    <w:rsid w:val="00F43937"/>
    <w:rsid w:val="00F71C2C"/>
    <w:rsid w:val="00F770EE"/>
    <w:rsid w:val="00F8105A"/>
    <w:rsid w:val="00F837F2"/>
    <w:rsid w:val="00F845B4"/>
    <w:rsid w:val="00F9452C"/>
    <w:rsid w:val="00F9675C"/>
    <w:rsid w:val="00FA0702"/>
    <w:rsid w:val="00FA0D2E"/>
    <w:rsid w:val="00FA3A27"/>
    <w:rsid w:val="00FA5EC9"/>
    <w:rsid w:val="00FB4119"/>
    <w:rsid w:val="00FB57FB"/>
    <w:rsid w:val="00FC013B"/>
    <w:rsid w:val="00FC3882"/>
    <w:rsid w:val="00FD18BF"/>
    <w:rsid w:val="00FD34B0"/>
    <w:rsid w:val="00FE1BEF"/>
    <w:rsid w:val="00FF510F"/>
    <w:rsid w:val="00FF5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09FE"/>
  <w15:chartTrackingRefBased/>
  <w15:docId w15:val="{C339AF75-9960-40DB-B153-160368B3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A0"/>
    <w:pPr>
      <w:spacing w:after="200" w:line="300" w:lineRule="exact"/>
      <w:jc w:val="both"/>
    </w:pPr>
    <w:rPr>
      <w:rFonts w:ascii="Equity Text A" w:hAnsi="Equity Text A"/>
      <w:sz w:val="24"/>
    </w:rPr>
  </w:style>
  <w:style w:type="paragraph" w:styleId="Heading1">
    <w:name w:val="heading 1"/>
    <w:basedOn w:val="Normal"/>
    <w:next w:val="Normal"/>
    <w:link w:val="Heading1Char"/>
    <w:uiPriority w:val="9"/>
    <w:qFormat/>
    <w:rsid w:val="001478C1"/>
    <w:pPr>
      <w:spacing w:after="0" w:line="480" w:lineRule="exact"/>
      <w:jc w:val="center"/>
      <w:outlineLvl w:val="0"/>
    </w:pPr>
    <w:rPr>
      <w:b/>
      <w:bCs/>
      <w:sz w:val="28"/>
      <w:szCs w:val="28"/>
    </w:rPr>
  </w:style>
  <w:style w:type="paragraph" w:styleId="Heading2">
    <w:name w:val="heading 2"/>
    <w:basedOn w:val="BriefText"/>
    <w:next w:val="Normal"/>
    <w:link w:val="Heading2Char"/>
    <w:uiPriority w:val="9"/>
    <w:unhideWhenUsed/>
    <w:qFormat/>
    <w:rsid w:val="00C73CE0"/>
    <w:pPr>
      <w:keepNext/>
      <w:numPr>
        <w:numId w:val="2"/>
      </w:numPr>
      <w:spacing w:before="140" w:line="280" w:lineRule="exact"/>
      <w:outlineLvl w:val="1"/>
    </w:pPr>
    <w:rPr>
      <w:b/>
      <w:bCs/>
    </w:rPr>
  </w:style>
  <w:style w:type="paragraph" w:styleId="Heading3">
    <w:name w:val="heading 3"/>
    <w:basedOn w:val="Normal"/>
    <w:next w:val="Normal"/>
    <w:link w:val="Heading3Char"/>
    <w:uiPriority w:val="9"/>
    <w:semiHidden/>
    <w:unhideWhenUsed/>
    <w:qFormat/>
    <w:rsid w:val="00642F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F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2FF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2FF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2FF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2FF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2FF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
    <w:name w:val="Block Quote"/>
    <w:basedOn w:val="Normal"/>
    <w:qFormat/>
    <w:rsid w:val="00A9208F"/>
    <w:pPr>
      <w:keepNext/>
      <w:spacing w:before="280" w:after="0" w:line="280" w:lineRule="exact"/>
      <w:ind w:left="1440" w:right="1440"/>
    </w:pPr>
    <w:rPr>
      <w:rFonts w:eastAsia="Calibri" w:cs="Times New Roman"/>
      <w:sz w:val="28"/>
      <w:szCs w:val="28"/>
    </w:rPr>
  </w:style>
  <w:style w:type="character" w:customStyle="1" w:styleId="Heading1Char">
    <w:name w:val="Heading 1 Char"/>
    <w:basedOn w:val="DefaultParagraphFont"/>
    <w:link w:val="Heading1"/>
    <w:uiPriority w:val="9"/>
    <w:rsid w:val="001478C1"/>
    <w:rPr>
      <w:rFonts w:ascii="Equity Text A" w:hAnsi="Equity Text A"/>
      <w:b/>
      <w:bCs/>
      <w:sz w:val="28"/>
      <w:szCs w:val="28"/>
    </w:rPr>
  </w:style>
  <w:style w:type="character" w:customStyle="1" w:styleId="Heading2Char">
    <w:name w:val="Heading 2 Char"/>
    <w:basedOn w:val="DefaultParagraphFont"/>
    <w:link w:val="Heading2"/>
    <w:uiPriority w:val="9"/>
    <w:rsid w:val="00C73CE0"/>
    <w:rPr>
      <w:rFonts w:ascii="Equity Text A" w:eastAsia="Calibri" w:hAnsi="Equity Text A" w:cs="Times New Roman"/>
      <w:b/>
      <w:bCs/>
      <w:sz w:val="28"/>
      <w:szCs w:val="28"/>
    </w:rPr>
  </w:style>
  <w:style w:type="character" w:customStyle="1" w:styleId="Heading3Char">
    <w:name w:val="Heading 3 Char"/>
    <w:basedOn w:val="DefaultParagraphFont"/>
    <w:link w:val="Heading3"/>
    <w:uiPriority w:val="9"/>
    <w:semiHidden/>
    <w:rsid w:val="00642F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FF2"/>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642FF2"/>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642FF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642FF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642FF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42FF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642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F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FF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F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F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2FF2"/>
    <w:rPr>
      <w:rFonts w:ascii="Equity Text A" w:hAnsi="Equity Text A"/>
      <w:i/>
      <w:iCs/>
      <w:color w:val="404040" w:themeColor="text1" w:themeTint="BF"/>
      <w:sz w:val="24"/>
    </w:rPr>
  </w:style>
  <w:style w:type="paragraph" w:styleId="ListParagraph">
    <w:name w:val="List Paragraph"/>
    <w:basedOn w:val="Normal"/>
    <w:uiPriority w:val="34"/>
    <w:qFormat/>
    <w:rsid w:val="00642FF2"/>
    <w:pPr>
      <w:ind w:left="720"/>
      <w:contextualSpacing/>
    </w:pPr>
  </w:style>
  <w:style w:type="character" w:styleId="IntenseEmphasis">
    <w:name w:val="Intense Emphasis"/>
    <w:basedOn w:val="DefaultParagraphFont"/>
    <w:uiPriority w:val="21"/>
    <w:qFormat/>
    <w:rsid w:val="00642FF2"/>
    <w:rPr>
      <w:i/>
      <w:iCs/>
      <w:color w:val="0F4761" w:themeColor="accent1" w:themeShade="BF"/>
    </w:rPr>
  </w:style>
  <w:style w:type="paragraph" w:styleId="IntenseQuote">
    <w:name w:val="Intense Quote"/>
    <w:basedOn w:val="Normal"/>
    <w:next w:val="Normal"/>
    <w:link w:val="IntenseQuoteChar"/>
    <w:uiPriority w:val="30"/>
    <w:qFormat/>
    <w:rsid w:val="00642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FF2"/>
    <w:rPr>
      <w:rFonts w:ascii="Equity Text A" w:hAnsi="Equity Text A"/>
      <w:i/>
      <w:iCs/>
      <w:color w:val="0F4761" w:themeColor="accent1" w:themeShade="BF"/>
      <w:sz w:val="24"/>
    </w:rPr>
  </w:style>
  <w:style w:type="character" w:styleId="IntenseReference">
    <w:name w:val="Intense Reference"/>
    <w:basedOn w:val="DefaultParagraphFont"/>
    <w:uiPriority w:val="32"/>
    <w:qFormat/>
    <w:rsid w:val="00642FF2"/>
    <w:rPr>
      <w:b/>
      <w:bCs/>
      <w:smallCaps/>
      <w:color w:val="0F4761" w:themeColor="accent1" w:themeShade="BF"/>
      <w:spacing w:val="5"/>
    </w:rPr>
  </w:style>
  <w:style w:type="paragraph" w:styleId="FootnoteText">
    <w:name w:val="footnote text"/>
    <w:basedOn w:val="Normal"/>
    <w:link w:val="FootnoteTextChar"/>
    <w:uiPriority w:val="99"/>
    <w:unhideWhenUsed/>
    <w:rsid w:val="00AA1355"/>
    <w:pPr>
      <w:spacing w:after="0" w:line="240" w:lineRule="auto"/>
    </w:pPr>
    <w:rPr>
      <w:sz w:val="20"/>
      <w:szCs w:val="20"/>
    </w:rPr>
  </w:style>
  <w:style w:type="character" w:customStyle="1" w:styleId="FootnoteTextChar">
    <w:name w:val="Footnote Text Char"/>
    <w:basedOn w:val="DefaultParagraphFont"/>
    <w:link w:val="FootnoteText"/>
    <w:uiPriority w:val="99"/>
    <w:rsid w:val="00AA1355"/>
    <w:rPr>
      <w:rFonts w:ascii="Equity Text A" w:hAnsi="Equity Text A"/>
      <w:sz w:val="20"/>
      <w:szCs w:val="20"/>
    </w:rPr>
  </w:style>
  <w:style w:type="character" w:styleId="FootnoteReference">
    <w:name w:val="footnote reference"/>
    <w:basedOn w:val="DefaultParagraphFont"/>
    <w:uiPriority w:val="99"/>
    <w:unhideWhenUsed/>
    <w:rsid w:val="00AA1355"/>
    <w:rPr>
      <w:vertAlign w:val="superscript"/>
    </w:rPr>
  </w:style>
  <w:style w:type="paragraph" w:customStyle="1" w:styleId="BriefText">
    <w:name w:val="Brief Text"/>
    <w:qFormat/>
    <w:rsid w:val="001478C1"/>
    <w:pPr>
      <w:spacing w:after="0" w:line="560" w:lineRule="exact"/>
      <w:ind w:firstLine="360"/>
      <w:jc w:val="both"/>
    </w:pPr>
    <w:rPr>
      <w:rFonts w:ascii="Equity Text A" w:eastAsia="Calibri" w:hAnsi="Equity Text A" w:cs="Times New Roman"/>
      <w:sz w:val="28"/>
      <w:szCs w:val="28"/>
    </w:rPr>
  </w:style>
  <w:style w:type="paragraph" w:styleId="Header">
    <w:name w:val="header"/>
    <w:basedOn w:val="Normal"/>
    <w:link w:val="HeaderChar"/>
    <w:uiPriority w:val="99"/>
    <w:unhideWhenUsed/>
    <w:rsid w:val="00445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28A"/>
    <w:rPr>
      <w:rFonts w:ascii="Equity Text A" w:hAnsi="Equity Text A"/>
      <w:sz w:val="24"/>
    </w:rPr>
  </w:style>
  <w:style w:type="paragraph" w:styleId="Footer">
    <w:name w:val="footer"/>
    <w:basedOn w:val="Normal"/>
    <w:link w:val="FooterChar"/>
    <w:uiPriority w:val="99"/>
    <w:unhideWhenUsed/>
    <w:rsid w:val="00445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28A"/>
    <w:rPr>
      <w:rFonts w:ascii="Equity Text A" w:hAnsi="Equity Text A"/>
      <w:sz w:val="24"/>
    </w:rPr>
  </w:style>
  <w:style w:type="paragraph" w:styleId="TOCHeading">
    <w:name w:val="TOC Heading"/>
    <w:basedOn w:val="Heading1"/>
    <w:next w:val="Normal"/>
    <w:uiPriority w:val="39"/>
    <w:unhideWhenUsed/>
    <w:qFormat/>
    <w:rsid w:val="006373C9"/>
    <w:pPr>
      <w:keepNext/>
      <w:keepLines/>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742AB9"/>
    <w:pPr>
      <w:tabs>
        <w:tab w:val="right" w:leader="dot" w:pos="9350"/>
      </w:tabs>
      <w:spacing w:after="280" w:line="280" w:lineRule="exact"/>
    </w:pPr>
    <w:rPr>
      <w:sz w:val="28"/>
    </w:rPr>
  </w:style>
  <w:style w:type="character" w:styleId="Hyperlink">
    <w:name w:val="Hyperlink"/>
    <w:basedOn w:val="DefaultParagraphFont"/>
    <w:uiPriority w:val="99"/>
    <w:unhideWhenUsed/>
    <w:rsid w:val="006373C9"/>
    <w:rPr>
      <w:color w:val="467886" w:themeColor="hyperlink"/>
      <w:u w:val="single"/>
    </w:rPr>
  </w:style>
  <w:style w:type="paragraph" w:styleId="TOC2">
    <w:name w:val="toc 2"/>
    <w:basedOn w:val="Normal"/>
    <w:next w:val="Normal"/>
    <w:autoRedefine/>
    <w:uiPriority w:val="39"/>
    <w:unhideWhenUsed/>
    <w:rsid w:val="00742AB9"/>
    <w:pPr>
      <w:spacing w:after="280" w:line="280" w:lineRule="exact"/>
      <w:ind w:left="965" w:right="720" w:hanging="720"/>
    </w:pPr>
    <w:rPr>
      <w:caps/>
      <w:sz w:val="28"/>
    </w:rPr>
  </w:style>
  <w:style w:type="character" w:styleId="UnresolvedMention">
    <w:name w:val="Unresolved Mention"/>
    <w:basedOn w:val="DefaultParagraphFont"/>
    <w:uiPriority w:val="99"/>
    <w:semiHidden/>
    <w:unhideWhenUsed/>
    <w:rsid w:val="007919B7"/>
    <w:rPr>
      <w:color w:val="605E5C"/>
      <w:shd w:val="clear" w:color="auto" w:fill="E1DFDD"/>
    </w:rPr>
  </w:style>
  <w:style w:type="character" w:styleId="CommentReference">
    <w:name w:val="annotation reference"/>
    <w:basedOn w:val="DefaultParagraphFont"/>
    <w:uiPriority w:val="99"/>
    <w:semiHidden/>
    <w:unhideWhenUsed/>
    <w:rsid w:val="00962509"/>
    <w:rPr>
      <w:sz w:val="16"/>
      <w:szCs w:val="16"/>
    </w:rPr>
  </w:style>
  <w:style w:type="paragraph" w:styleId="CommentText">
    <w:name w:val="annotation text"/>
    <w:basedOn w:val="Normal"/>
    <w:link w:val="CommentTextChar"/>
    <w:uiPriority w:val="99"/>
    <w:unhideWhenUsed/>
    <w:rsid w:val="00962509"/>
    <w:pPr>
      <w:spacing w:line="240" w:lineRule="auto"/>
    </w:pPr>
    <w:rPr>
      <w:sz w:val="20"/>
      <w:szCs w:val="20"/>
    </w:rPr>
  </w:style>
  <w:style w:type="character" w:customStyle="1" w:styleId="CommentTextChar">
    <w:name w:val="Comment Text Char"/>
    <w:basedOn w:val="DefaultParagraphFont"/>
    <w:link w:val="CommentText"/>
    <w:uiPriority w:val="99"/>
    <w:rsid w:val="00962509"/>
    <w:rPr>
      <w:rFonts w:ascii="Equity Text A" w:hAnsi="Equity Text A"/>
      <w:sz w:val="20"/>
      <w:szCs w:val="20"/>
    </w:rPr>
  </w:style>
  <w:style w:type="paragraph" w:styleId="CommentSubject">
    <w:name w:val="annotation subject"/>
    <w:basedOn w:val="CommentText"/>
    <w:next w:val="CommentText"/>
    <w:link w:val="CommentSubjectChar"/>
    <w:uiPriority w:val="99"/>
    <w:semiHidden/>
    <w:unhideWhenUsed/>
    <w:rsid w:val="00962509"/>
    <w:rPr>
      <w:b/>
      <w:bCs/>
    </w:rPr>
  </w:style>
  <w:style w:type="character" w:customStyle="1" w:styleId="CommentSubjectChar">
    <w:name w:val="Comment Subject Char"/>
    <w:basedOn w:val="CommentTextChar"/>
    <w:link w:val="CommentSubject"/>
    <w:uiPriority w:val="99"/>
    <w:semiHidden/>
    <w:rsid w:val="00962509"/>
    <w:rPr>
      <w:rFonts w:ascii="Equity Text A" w:hAnsi="Equity Text A"/>
      <w:b/>
      <w:bCs/>
      <w:sz w:val="20"/>
      <w:szCs w:val="20"/>
    </w:rPr>
  </w:style>
  <w:style w:type="paragraph" w:styleId="Revision">
    <w:name w:val="Revision"/>
    <w:hidden/>
    <w:uiPriority w:val="99"/>
    <w:semiHidden/>
    <w:rsid w:val="00883380"/>
    <w:pPr>
      <w:spacing w:after="0" w:line="240" w:lineRule="auto"/>
    </w:pPr>
    <w:rPr>
      <w:rFonts w:ascii="Equity Text A" w:hAnsi="Equity Text A"/>
      <w:sz w:val="24"/>
    </w:rPr>
  </w:style>
  <w:style w:type="paragraph" w:styleId="TOAHeading">
    <w:name w:val="toa heading"/>
    <w:basedOn w:val="Normal"/>
    <w:next w:val="Normal"/>
    <w:uiPriority w:val="99"/>
    <w:semiHidden/>
    <w:unhideWhenUsed/>
    <w:rsid w:val="00FF573C"/>
    <w:pPr>
      <w:spacing w:after="0" w:line="480" w:lineRule="exact"/>
    </w:pPr>
    <w:rPr>
      <w:rFonts w:eastAsiaTheme="majorEastAsia" w:cstheme="majorBidi"/>
      <w:b/>
      <w:bCs/>
      <w:sz w:val="28"/>
      <w:szCs w:val="24"/>
    </w:rPr>
  </w:style>
  <w:style w:type="paragraph" w:styleId="TableofAuthorities">
    <w:name w:val="table of authorities"/>
    <w:basedOn w:val="Normal"/>
    <w:next w:val="Normal"/>
    <w:uiPriority w:val="99"/>
    <w:semiHidden/>
    <w:unhideWhenUsed/>
    <w:rsid w:val="00FF573C"/>
    <w:pPr>
      <w:spacing w:before="280" w:after="0" w:line="280" w:lineRule="exact"/>
      <w:ind w:left="245" w:right="1080" w:hanging="245"/>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267847">
      <w:bodyDiv w:val="1"/>
      <w:marLeft w:val="0"/>
      <w:marRight w:val="0"/>
      <w:marTop w:val="0"/>
      <w:marBottom w:val="0"/>
      <w:divBdr>
        <w:top w:val="none" w:sz="0" w:space="0" w:color="auto"/>
        <w:left w:val="none" w:sz="0" w:space="0" w:color="auto"/>
        <w:bottom w:val="none" w:sz="0" w:space="0" w:color="auto"/>
        <w:right w:val="none" w:sz="0" w:space="0" w:color="auto"/>
      </w:divBdr>
    </w:div>
    <w:div w:id="423958239">
      <w:bodyDiv w:val="1"/>
      <w:marLeft w:val="0"/>
      <w:marRight w:val="0"/>
      <w:marTop w:val="0"/>
      <w:marBottom w:val="0"/>
      <w:divBdr>
        <w:top w:val="none" w:sz="0" w:space="0" w:color="auto"/>
        <w:left w:val="none" w:sz="0" w:space="0" w:color="auto"/>
        <w:bottom w:val="none" w:sz="0" w:space="0" w:color="auto"/>
        <w:right w:val="none" w:sz="0" w:space="0" w:color="auto"/>
      </w:divBdr>
    </w:div>
    <w:div w:id="475024704">
      <w:bodyDiv w:val="1"/>
      <w:marLeft w:val="0"/>
      <w:marRight w:val="0"/>
      <w:marTop w:val="0"/>
      <w:marBottom w:val="0"/>
      <w:divBdr>
        <w:top w:val="none" w:sz="0" w:space="0" w:color="auto"/>
        <w:left w:val="none" w:sz="0" w:space="0" w:color="auto"/>
        <w:bottom w:val="none" w:sz="0" w:space="0" w:color="auto"/>
        <w:right w:val="none" w:sz="0" w:space="0" w:color="auto"/>
      </w:divBdr>
      <w:divsChild>
        <w:div w:id="563683575">
          <w:marLeft w:val="0"/>
          <w:marRight w:val="0"/>
          <w:marTop w:val="0"/>
          <w:marBottom w:val="0"/>
          <w:divBdr>
            <w:top w:val="single" w:sz="2" w:space="0" w:color="000000"/>
            <w:left w:val="single" w:sz="2" w:space="0" w:color="000000"/>
            <w:bottom w:val="single" w:sz="2" w:space="0" w:color="000000"/>
            <w:right w:val="single" w:sz="2" w:space="0" w:color="000000"/>
          </w:divBdr>
          <w:divsChild>
            <w:div w:id="958142303">
              <w:marLeft w:val="0"/>
              <w:marRight w:val="0"/>
              <w:marTop w:val="180"/>
              <w:marBottom w:val="0"/>
              <w:divBdr>
                <w:top w:val="single" w:sz="2" w:space="0" w:color="000000"/>
                <w:left w:val="single" w:sz="2" w:space="0" w:color="000000"/>
                <w:bottom w:val="single" w:sz="2" w:space="0" w:color="000000"/>
                <w:right w:val="single" w:sz="2" w:space="0" w:color="000000"/>
              </w:divBdr>
              <w:divsChild>
                <w:div w:id="18705302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510990150">
      <w:bodyDiv w:val="1"/>
      <w:marLeft w:val="0"/>
      <w:marRight w:val="0"/>
      <w:marTop w:val="0"/>
      <w:marBottom w:val="0"/>
      <w:divBdr>
        <w:top w:val="none" w:sz="0" w:space="0" w:color="auto"/>
        <w:left w:val="none" w:sz="0" w:space="0" w:color="auto"/>
        <w:bottom w:val="none" w:sz="0" w:space="0" w:color="auto"/>
        <w:right w:val="none" w:sz="0" w:space="0" w:color="auto"/>
      </w:divBdr>
    </w:div>
    <w:div w:id="541791149">
      <w:bodyDiv w:val="1"/>
      <w:marLeft w:val="0"/>
      <w:marRight w:val="0"/>
      <w:marTop w:val="0"/>
      <w:marBottom w:val="0"/>
      <w:divBdr>
        <w:top w:val="none" w:sz="0" w:space="0" w:color="auto"/>
        <w:left w:val="none" w:sz="0" w:space="0" w:color="auto"/>
        <w:bottom w:val="none" w:sz="0" w:space="0" w:color="auto"/>
        <w:right w:val="none" w:sz="0" w:space="0" w:color="auto"/>
      </w:divBdr>
    </w:div>
    <w:div w:id="579410610">
      <w:bodyDiv w:val="1"/>
      <w:marLeft w:val="0"/>
      <w:marRight w:val="0"/>
      <w:marTop w:val="0"/>
      <w:marBottom w:val="0"/>
      <w:divBdr>
        <w:top w:val="none" w:sz="0" w:space="0" w:color="auto"/>
        <w:left w:val="none" w:sz="0" w:space="0" w:color="auto"/>
        <w:bottom w:val="none" w:sz="0" w:space="0" w:color="auto"/>
        <w:right w:val="none" w:sz="0" w:space="0" w:color="auto"/>
      </w:divBdr>
    </w:div>
    <w:div w:id="587537753">
      <w:bodyDiv w:val="1"/>
      <w:marLeft w:val="0"/>
      <w:marRight w:val="0"/>
      <w:marTop w:val="0"/>
      <w:marBottom w:val="0"/>
      <w:divBdr>
        <w:top w:val="none" w:sz="0" w:space="0" w:color="auto"/>
        <w:left w:val="none" w:sz="0" w:space="0" w:color="auto"/>
        <w:bottom w:val="none" w:sz="0" w:space="0" w:color="auto"/>
        <w:right w:val="none" w:sz="0" w:space="0" w:color="auto"/>
      </w:divBdr>
    </w:div>
    <w:div w:id="607542665">
      <w:bodyDiv w:val="1"/>
      <w:marLeft w:val="0"/>
      <w:marRight w:val="0"/>
      <w:marTop w:val="0"/>
      <w:marBottom w:val="0"/>
      <w:divBdr>
        <w:top w:val="none" w:sz="0" w:space="0" w:color="auto"/>
        <w:left w:val="none" w:sz="0" w:space="0" w:color="auto"/>
        <w:bottom w:val="none" w:sz="0" w:space="0" w:color="auto"/>
        <w:right w:val="none" w:sz="0" w:space="0" w:color="auto"/>
      </w:divBdr>
    </w:div>
    <w:div w:id="782505690">
      <w:bodyDiv w:val="1"/>
      <w:marLeft w:val="0"/>
      <w:marRight w:val="0"/>
      <w:marTop w:val="0"/>
      <w:marBottom w:val="0"/>
      <w:divBdr>
        <w:top w:val="none" w:sz="0" w:space="0" w:color="auto"/>
        <w:left w:val="none" w:sz="0" w:space="0" w:color="auto"/>
        <w:bottom w:val="none" w:sz="0" w:space="0" w:color="auto"/>
        <w:right w:val="none" w:sz="0" w:space="0" w:color="auto"/>
      </w:divBdr>
      <w:divsChild>
        <w:div w:id="731853478">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 w:id="815149048">
      <w:bodyDiv w:val="1"/>
      <w:marLeft w:val="0"/>
      <w:marRight w:val="0"/>
      <w:marTop w:val="0"/>
      <w:marBottom w:val="0"/>
      <w:divBdr>
        <w:top w:val="none" w:sz="0" w:space="0" w:color="auto"/>
        <w:left w:val="none" w:sz="0" w:space="0" w:color="auto"/>
        <w:bottom w:val="none" w:sz="0" w:space="0" w:color="auto"/>
        <w:right w:val="none" w:sz="0" w:space="0" w:color="auto"/>
      </w:divBdr>
    </w:div>
    <w:div w:id="956958088">
      <w:bodyDiv w:val="1"/>
      <w:marLeft w:val="0"/>
      <w:marRight w:val="0"/>
      <w:marTop w:val="0"/>
      <w:marBottom w:val="0"/>
      <w:divBdr>
        <w:top w:val="none" w:sz="0" w:space="0" w:color="auto"/>
        <w:left w:val="none" w:sz="0" w:space="0" w:color="auto"/>
        <w:bottom w:val="none" w:sz="0" w:space="0" w:color="auto"/>
        <w:right w:val="none" w:sz="0" w:space="0" w:color="auto"/>
      </w:divBdr>
    </w:div>
    <w:div w:id="1483934836">
      <w:bodyDiv w:val="1"/>
      <w:marLeft w:val="0"/>
      <w:marRight w:val="0"/>
      <w:marTop w:val="0"/>
      <w:marBottom w:val="0"/>
      <w:divBdr>
        <w:top w:val="none" w:sz="0" w:space="0" w:color="auto"/>
        <w:left w:val="none" w:sz="0" w:space="0" w:color="auto"/>
        <w:bottom w:val="none" w:sz="0" w:space="0" w:color="auto"/>
        <w:right w:val="none" w:sz="0" w:space="0" w:color="auto"/>
      </w:divBdr>
    </w:div>
    <w:div w:id="1498961738">
      <w:bodyDiv w:val="1"/>
      <w:marLeft w:val="0"/>
      <w:marRight w:val="0"/>
      <w:marTop w:val="0"/>
      <w:marBottom w:val="0"/>
      <w:divBdr>
        <w:top w:val="none" w:sz="0" w:space="0" w:color="auto"/>
        <w:left w:val="none" w:sz="0" w:space="0" w:color="auto"/>
        <w:bottom w:val="none" w:sz="0" w:space="0" w:color="auto"/>
        <w:right w:val="none" w:sz="0" w:space="0" w:color="auto"/>
      </w:divBdr>
    </w:div>
    <w:div w:id="1559634309">
      <w:bodyDiv w:val="1"/>
      <w:marLeft w:val="0"/>
      <w:marRight w:val="0"/>
      <w:marTop w:val="0"/>
      <w:marBottom w:val="0"/>
      <w:divBdr>
        <w:top w:val="none" w:sz="0" w:space="0" w:color="auto"/>
        <w:left w:val="none" w:sz="0" w:space="0" w:color="auto"/>
        <w:bottom w:val="none" w:sz="0" w:space="0" w:color="auto"/>
        <w:right w:val="none" w:sz="0" w:space="0" w:color="auto"/>
      </w:divBdr>
    </w:div>
    <w:div w:id="1560676339">
      <w:bodyDiv w:val="1"/>
      <w:marLeft w:val="0"/>
      <w:marRight w:val="0"/>
      <w:marTop w:val="0"/>
      <w:marBottom w:val="0"/>
      <w:divBdr>
        <w:top w:val="none" w:sz="0" w:space="0" w:color="auto"/>
        <w:left w:val="none" w:sz="0" w:space="0" w:color="auto"/>
        <w:bottom w:val="none" w:sz="0" w:space="0" w:color="auto"/>
        <w:right w:val="none" w:sz="0" w:space="0" w:color="auto"/>
      </w:divBdr>
    </w:div>
    <w:div w:id="1577859933">
      <w:bodyDiv w:val="1"/>
      <w:marLeft w:val="0"/>
      <w:marRight w:val="0"/>
      <w:marTop w:val="0"/>
      <w:marBottom w:val="0"/>
      <w:divBdr>
        <w:top w:val="none" w:sz="0" w:space="0" w:color="auto"/>
        <w:left w:val="none" w:sz="0" w:space="0" w:color="auto"/>
        <w:bottom w:val="none" w:sz="0" w:space="0" w:color="auto"/>
        <w:right w:val="none" w:sz="0" w:space="0" w:color="auto"/>
      </w:divBdr>
    </w:div>
    <w:div w:id="1635717110">
      <w:bodyDiv w:val="1"/>
      <w:marLeft w:val="0"/>
      <w:marRight w:val="0"/>
      <w:marTop w:val="0"/>
      <w:marBottom w:val="0"/>
      <w:divBdr>
        <w:top w:val="none" w:sz="0" w:space="0" w:color="auto"/>
        <w:left w:val="none" w:sz="0" w:space="0" w:color="auto"/>
        <w:bottom w:val="none" w:sz="0" w:space="0" w:color="auto"/>
        <w:right w:val="none" w:sz="0" w:space="0" w:color="auto"/>
      </w:divBdr>
    </w:div>
    <w:div w:id="1743209429">
      <w:bodyDiv w:val="1"/>
      <w:marLeft w:val="0"/>
      <w:marRight w:val="0"/>
      <w:marTop w:val="0"/>
      <w:marBottom w:val="0"/>
      <w:divBdr>
        <w:top w:val="none" w:sz="0" w:space="0" w:color="auto"/>
        <w:left w:val="none" w:sz="0" w:space="0" w:color="auto"/>
        <w:bottom w:val="none" w:sz="0" w:space="0" w:color="auto"/>
        <w:right w:val="none" w:sz="0" w:space="0" w:color="auto"/>
      </w:divBdr>
    </w:div>
    <w:div w:id="1765490402">
      <w:bodyDiv w:val="1"/>
      <w:marLeft w:val="0"/>
      <w:marRight w:val="0"/>
      <w:marTop w:val="0"/>
      <w:marBottom w:val="0"/>
      <w:divBdr>
        <w:top w:val="none" w:sz="0" w:space="0" w:color="auto"/>
        <w:left w:val="none" w:sz="0" w:space="0" w:color="auto"/>
        <w:bottom w:val="none" w:sz="0" w:space="0" w:color="auto"/>
        <w:right w:val="none" w:sz="0" w:space="0" w:color="auto"/>
      </w:divBdr>
    </w:div>
    <w:div w:id="1798060429">
      <w:bodyDiv w:val="1"/>
      <w:marLeft w:val="0"/>
      <w:marRight w:val="0"/>
      <w:marTop w:val="0"/>
      <w:marBottom w:val="0"/>
      <w:divBdr>
        <w:top w:val="none" w:sz="0" w:space="0" w:color="auto"/>
        <w:left w:val="none" w:sz="0" w:space="0" w:color="auto"/>
        <w:bottom w:val="none" w:sz="0" w:space="0" w:color="auto"/>
        <w:right w:val="none" w:sz="0" w:space="0" w:color="auto"/>
      </w:divBdr>
    </w:div>
    <w:div w:id="1906254325">
      <w:bodyDiv w:val="1"/>
      <w:marLeft w:val="0"/>
      <w:marRight w:val="0"/>
      <w:marTop w:val="0"/>
      <w:marBottom w:val="0"/>
      <w:divBdr>
        <w:top w:val="none" w:sz="0" w:space="0" w:color="auto"/>
        <w:left w:val="none" w:sz="0" w:space="0" w:color="auto"/>
        <w:bottom w:val="none" w:sz="0" w:space="0" w:color="auto"/>
        <w:right w:val="none" w:sz="0" w:space="0" w:color="auto"/>
      </w:divBdr>
    </w:div>
    <w:div w:id="210279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atch.com/new-jersey/newarknj/nj-senate-candidate-denied-entry-democratic-convention-vide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newjerseyglobe.com/local/six-democrats-seek-party-backing-for-passaic-sheriff-but-speziale-isnt-one-of-them/" TargetMode="External"/><Relationship Id="rId2" Type="http://schemas.openxmlformats.org/officeDocument/2006/relationships/numbering" Target="numbering.xml"/><Relationship Id="rId16" Type="http://schemas.openxmlformats.org/officeDocument/2006/relationships/hyperlink" Target="https://newjerseyglobe.com/local/as-judge-prepares-to-decide-future-of-the-line-vainieri-highlights-no-process-proces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witter.com/MercerClerk/status/1774867850542395439"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witter.com/ChrisJDurkin/status/177461205197063815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witter.com/MercerClerk/status/1774867492663357528" TargetMode="External"/><Relationship Id="rId2" Type="http://schemas.openxmlformats.org/officeDocument/2006/relationships/hyperlink" Target="https://twitter.com/ChrisJDurkin/status/1774612501499441321" TargetMode="External"/><Relationship Id="rId1" Type="http://schemas.openxmlformats.org/officeDocument/2006/relationships/hyperlink" Target="https://www.nytimes.com/2023/08/03/technology/twitter-x-tweets-elon-mus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DF953EA-0E8B-4B1B-B81B-1EC3F0127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3989</Words>
  <Characters>20706</Characters>
  <Application>Microsoft Office Word</Application>
  <DocSecurity>0</DocSecurity>
  <Lines>398</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Salmon</dc:creator>
  <cp:keywords/>
  <dc:description/>
  <cp:lastModifiedBy>Scott Salmon</cp:lastModifiedBy>
  <cp:revision>7</cp:revision>
  <dcterms:created xsi:type="dcterms:W3CDTF">2024-04-02T16:35:00Z</dcterms:created>
  <dcterms:modified xsi:type="dcterms:W3CDTF">2024-04-02T16:35:00Z</dcterms:modified>
</cp:coreProperties>
</file>